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B6E" w:rsidRDefault="003F22B2">
      <w:pPr>
        <w:pStyle w:val="ab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Техническое задание </w:t>
      </w:r>
    </w:p>
    <w:p w:rsidR="00031B6E" w:rsidRDefault="003F22B2">
      <w:pPr>
        <w:pStyle w:val="ab"/>
        <w:spacing w:line="200" w:lineRule="atLeast"/>
        <w:ind w:right="74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на модификацию и обновление программы «Конфигурация для учреждений ФСИН для 1С: Предприятие 8».</w:t>
      </w:r>
    </w:p>
    <w:p w:rsidR="00031B6E" w:rsidRDefault="00031B6E">
      <w:pPr>
        <w:pStyle w:val="ab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31B6E" w:rsidRDefault="00031B6E">
      <w:pPr>
        <w:snapToGrid w:val="0"/>
        <w:jc w:val="both"/>
        <w:rPr>
          <w:rFonts w:ascii="Times New Roman" w:eastAsia="Courier New" w:hAnsi="Times New Roman"/>
          <w:sz w:val="22"/>
          <w:szCs w:val="22"/>
        </w:rPr>
      </w:pPr>
    </w:p>
    <w:p w:rsidR="00031B6E" w:rsidRDefault="003F22B2">
      <w:pPr>
        <w:pStyle w:val="ac"/>
        <w:numPr>
          <w:ilvl w:val="0"/>
          <w:numId w:val="35"/>
        </w:numPr>
        <w:spacing w:line="21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Качество и характеристика услуг:</w:t>
      </w:r>
    </w:p>
    <w:p w:rsidR="00031B6E" w:rsidRDefault="00031B6E">
      <w:pPr>
        <w:pStyle w:val="DefaultText"/>
        <w:jc w:val="both"/>
        <w:rPr>
          <w:sz w:val="22"/>
          <w:szCs w:val="22"/>
        </w:rPr>
      </w:pPr>
    </w:p>
    <w:p w:rsidR="00031B6E" w:rsidRDefault="003F22B2">
      <w:pPr>
        <w:snapToGrid w:val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Модификация и обновление программы «Конфигурация для учреждений ФСИН для 1С: Предприятие 8» </w:t>
      </w:r>
      <w:r>
        <w:rPr>
          <w:rFonts w:ascii="Times New Roman" w:hAnsi="Times New Roman"/>
          <w:sz w:val="22"/>
          <w:szCs w:val="22"/>
        </w:rPr>
        <w:t>должны включать в себя:</w:t>
      </w:r>
    </w:p>
    <w:p w:rsidR="00031B6E" w:rsidRDefault="00031B6E">
      <w:pPr>
        <w:snapToGrid w:val="0"/>
        <w:jc w:val="center"/>
        <w:rPr>
          <w:rFonts w:ascii="Times New Roman" w:hAnsi="Times New Roman"/>
          <w:sz w:val="22"/>
          <w:szCs w:val="22"/>
        </w:rPr>
      </w:pPr>
    </w:p>
    <w:p w:rsidR="003F22B2" w:rsidRDefault="003F22B2" w:rsidP="003F22B2">
      <w:pPr>
        <w:numPr>
          <w:ilvl w:val="0"/>
          <w:numId w:val="34"/>
        </w:numPr>
        <w:snapToGrid w:val="0"/>
        <w:jc w:val="both"/>
        <w:rPr>
          <w:rFonts w:ascii="Times New Roman" w:hAnsi="Times New Roman"/>
          <w:sz w:val="22"/>
          <w:szCs w:val="22"/>
        </w:rPr>
      </w:pPr>
      <w:r w:rsidRPr="003F22B2">
        <w:rPr>
          <w:rFonts w:ascii="Times New Roman" w:hAnsi="Times New Roman"/>
          <w:sz w:val="22"/>
          <w:szCs w:val="22"/>
        </w:rPr>
        <w:t xml:space="preserve">возможность до 10 дополнительных разработок в год по запросам клиентов с условием, что данная разработка (новые участки учета, новые способы поиска и исправления ошибок, отчеты, в том числе внутриведомственные отчеты). </w:t>
      </w:r>
    </w:p>
    <w:p w:rsidR="00031B6E" w:rsidRDefault="003F22B2">
      <w:pPr>
        <w:snapToGrid w:val="0"/>
        <w:ind w:left="4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При этом все запрашиваемые дополнительные разработки должны удовлетворять следующим условиям:</w:t>
      </w:r>
    </w:p>
    <w:p w:rsidR="00031B6E" w:rsidRDefault="003F22B2">
      <w:pPr>
        <w:snapToGrid w:val="0"/>
        <w:ind w:left="4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-</w:t>
      </w:r>
      <w:r>
        <w:rPr>
          <w:rFonts w:ascii="Times New Roman" w:hAnsi="Times New Roman"/>
          <w:color w:val="000000"/>
          <w:sz w:val="22"/>
          <w:szCs w:val="22"/>
        </w:rPr>
        <w:t>соответствовать и\или не противоречить действующему законодательству;</w:t>
      </w:r>
    </w:p>
    <w:p w:rsidR="00031B6E" w:rsidRDefault="003F22B2">
      <w:pPr>
        <w:snapToGrid w:val="0"/>
        <w:ind w:left="4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-учитывать текущие функциональные возможности к</w:t>
      </w:r>
      <w:r>
        <w:rPr>
          <w:rFonts w:ascii="Times New Roman" w:hAnsi="Times New Roman"/>
          <w:color w:val="000000"/>
          <w:sz w:val="22"/>
          <w:szCs w:val="22"/>
        </w:rPr>
        <w:t>онфигурации;</w:t>
      </w:r>
    </w:p>
    <w:p w:rsidR="00031B6E" w:rsidRDefault="003F22B2">
      <w:pPr>
        <w:snapToGrid w:val="0"/>
        <w:ind w:left="4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-расширять текущие функциональные возможности конфигурации;</w:t>
      </w:r>
    </w:p>
    <w:p w:rsidR="00031B6E" w:rsidRDefault="003F22B2">
      <w:pPr>
        <w:numPr>
          <w:ilvl w:val="0"/>
          <w:numId w:val="34"/>
        </w:numPr>
        <w:snapToGri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усовершенствование программного продукта, позволяющее уменьшить ошибки и неточности, совершаемые пользователями программного продукта;</w:t>
      </w:r>
    </w:p>
    <w:p w:rsidR="00031B6E" w:rsidRDefault="003F22B2">
      <w:pPr>
        <w:numPr>
          <w:ilvl w:val="0"/>
          <w:numId w:val="34"/>
        </w:numPr>
        <w:snapToGri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усовершенствование программного продукта по резу</w:t>
      </w:r>
      <w:r>
        <w:rPr>
          <w:rFonts w:ascii="Times New Roman" w:hAnsi="Times New Roman"/>
          <w:sz w:val="22"/>
          <w:szCs w:val="22"/>
        </w:rPr>
        <w:t>льтатам работы системных аналитиков Исполнителя;</w:t>
      </w:r>
    </w:p>
    <w:p w:rsidR="00031B6E" w:rsidRDefault="003F22B2">
      <w:pPr>
        <w:numPr>
          <w:ilvl w:val="0"/>
          <w:numId w:val="34"/>
        </w:numPr>
        <w:snapToGri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усовершенствование программного продукта, позволяющее находить неточности и ошибки при ведении Заказчиком бухгалтерского, кадрового и иного учета, необходимого для осуществления верной финансово-хозяйственно</w:t>
      </w:r>
      <w:r>
        <w:rPr>
          <w:rFonts w:ascii="Times New Roman" w:hAnsi="Times New Roman"/>
          <w:sz w:val="22"/>
          <w:szCs w:val="22"/>
        </w:rPr>
        <w:t>й деятельности Заказчика в соответствии с действующим законодательством Российской Федерации;</w:t>
      </w:r>
    </w:p>
    <w:p w:rsidR="00031B6E" w:rsidRDefault="003F22B2">
      <w:pPr>
        <w:numPr>
          <w:ilvl w:val="0"/>
          <w:numId w:val="34"/>
        </w:numPr>
        <w:snapToGri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изменения программного продукта, его усовершенствование, направленное на соответствие бухгалтерского, кадрового и иного учета, выполняемого пользователем, действу</w:t>
      </w:r>
      <w:r>
        <w:rPr>
          <w:rFonts w:ascii="Times New Roman" w:hAnsi="Times New Roman"/>
          <w:sz w:val="22"/>
          <w:szCs w:val="22"/>
        </w:rPr>
        <w:t>ющему законодательству Российской Федерации;</w:t>
      </w:r>
    </w:p>
    <w:p w:rsidR="00031B6E" w:rsidRDefault="003F22B2">
      <w:pPr>
        <w:numPr>
          <w:ilvl w:val="0"/>
          <w:numId w:val="34"/>
        </w:numPr>
        <w:snapToGrid w:val="0"/>
        <w:jc w:val="both"/>
        <w:rPr>
          <w:rFonts w:ascii="Times New Roman" w:hAnsi="Times New Roman"/>
          <w:sz w:val="22"/>
          <w:szCs w:val="22"/>
        </w:rPr>
      </w:pPr>
      <w:r>
        <w:rPr>
          <w:rStyle w:val="2"/>
          <w:rFonts w:ascii="Times New Roman" w:hAnsi="Times New Roman"/>
          <w:sz w:val="22"/>
          <w:szCs w:val="22"/>
        </w:rPr>
        <w:t xml:space="preserve">резервное копирование перед проведением любого обновления в </w:t>
      </w:r>
      <w:r>
        <w:rPr>
          <w:rFonts w:ascii="Times New Roman" w:hAnsi="Times New Roman"/>
          <w:sz w:val="22"/>
          <w:szCs w:val="22"/>
        </w:rPr>
        <w:t>согласованное с технической службой Заказчика место хранения временной информации, которое при необходимости обеспечит полное восстановление всей инфор</w:t>
      </w:r>
      <w:r>
        <w:rPr>
          <w:rFonts w:ascii="Times New Roman" w:hAnsi="Times New Roman"/>
          <w:sz w:val="22"/>
          <w:szCs w:val="22"/>
        </w:rPr>
        <w:t>мации</w:t>
      </w:r>
      <w:r>
        <w:rPr>
          <w:rStyle w:val="2"/>
          <w:rFonts w:ascii="Times New Roman" w:hAnsi="Times New Roman"/>
          <w:sz w:val="22"/>
          <w:szCs w:val="22"/>
        </w:rPr>
        <w:t>;</w:t>
      </w:r>
    </w:p>
    <w:p w:rsidR="00031B6E" w:rsidRDefault="003F22B2">
      <w:pPr>
        <w:numPr>
          <w:ilvl w:val="0"/>
          <w:numId w:val="34"/>
        </w:numPr>
        <w:snapToGrid w:val="0"/>
        <w:jc w:val="both"/>
        <w:rPr>
          <w:rFonts w:ascii="Times New Roman" w:hAnsi="Times New Roman"/>
          <w:sz w:val="22"/>
          <w:szCs w:val="22"/>
        </w:rPr>
      </w:pPr>
      <w:r>
        <w:rPr>
          <w:rStyle w:val="2"/>
          <w:rFonts w:ascii="Times New Roman" w:hAnsi="Times New Roman"/>
          <w:sz w:val="22"/>
          <w:szCs w:val="22"/>
        </w:rPr>
        <w:t>восстановление информации из резервных копий информационных баз;</w:t>
      </w:r>
    </w:p>
    <w:p w:rsidR="00031B6E" w:rsidRDefault="003F22B2">
      <w:pPr>
        <w:numPr>
          <w:ilvl w:val="0"/>
          <w:numId w:val="34"/>
        </w:numPr>
        <w:snapToGri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обновление форм утвержденной отчетности по мере их выхода;</w:t>
      </w:r>
    </w:p>
    <w:p w:rsidR="00031B6E" w:rsidRDefault="003F22B2">
      <w:pPr>
        <w:numPr>
          <w:ilvl w:val="0"/>
          <w:numId w:val="34"/>
        </w:numPr>
        <w:snapToGri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обновление по мере выхода релизов типовых конфигураций сопровождаемого программного продукта </w:t>
      </w:r>
      <w:r>
        <w:rPr>
          <w:rFonts w:ascii="Times New Roman" w:hAnsi="Times New Roman"/>
          <w:sz w:val="22"/>
          <w:szCs w:val="22"/>
          <w:u w:val="single"/>
        </w:rPr>
        <w:t>ежемесячно, не позднее 28 числа каждого месяца;</w:t>
      </w:r>
    </w:p>
    <w:p w:rsidR="00031B6E" w:rsidRDefault="003F22B2">
      <w:pPr>
        <w:numPr>
          <w:ilvl w:val="0"/>
          <w:numId w:val="34"/>
        </w:numPr>
        <w:snapToGrid w:val="0"/>
        <w:jc w:val="both"/>
        <w:rPr>
          <w:rFonts w:ascii="Times New Roman" w:hAnsi="Times New Roman"/>
          <w:sz w:val="22"/>
          <w:szCs w:val="22"/>
        </w:rPr>
      </w:pPr>
      <w:r>
        <w:rPr>
          <w:rStyle w:val="2"/>
          <w:rFonts w:ascii="Times New Roman" w:hAnsi="Times New Roman"/>
          <w:sz w:val="22"/>
          <w:szCs w:val="22"/>
        </w:rPr>
        <w:t>тестирование программного продукта после обновления на предмет нормальной работы, включая наработанный функционал;</w:t>
      </w:r>
    </w:p>
    <w:p w:rsidR="00031B6E" w:rsidRDefault="003F22B2">
      <w:pPr>
        <w:numPr>
          <w:ilvl w:val="0"/>
          <w:numId w:val="34"/>
        </w:numPr>
        <w:snapToGrid w:val="0"/>
        <w:jc w:val="both"/>
        <w:rPr>
          <w:rFonts w:ascii="Times New Roman" w:hAnsi="Times New Roman"/>
          <w:sz w:val="22"/>
          <w:szCs w:val="22"/>
        </w:rPr>
      </w:pPr>
      <w:r>
        <w:rPr>
          <w:rStyle w:val="1"/>
          <w:rFonts w:ascii="Times New Roman" w:hAnsi="Times New Roman"/>
          <w:sz w:val="22"/>
          <w:szCs w:val="22"/>
        </w:rPr>
        <w:t>все доработки, установленные в программный продукт Заказчика, не должны быть изменены, потеряны.</w:t>
      </w:r>
    </w:p>
    <w:p w:rsidR="00031B6E" w:rsidRDefault="003F22B2">
      <w:pPr>
        <w:numPr>
          <w:ilvl w:val="0"/>
          <w:numId w:val="34"/>
        </w:numPr>
        <w:snapToGrid w:val="0"/>
        <w:jc w:val="both"/>
        <w:rPr>
          <w:rFonts w:ascii="Times New Roman" w:hAnsi="Times New Roman"/>
          <w:sz w:val="22"/>
          <w:szCs w:val="22"/>
        </w:rPr>
      </w:pPr>
      <w:r>
        <w:rPr>
          <w:rStyle w:val="1"/>
          <w:rFonts w:ascii="Times New Roman" w:hAnsi="Times New Roman"/>
          <w:sz w:val="22"/>
          <w:szCs w:val="22"/>
        </w:rPr>
        <w:t>сохранение нетиповых функциональных возможностей при обновлении программного продукта.</w:t>
      </w:r>
    </w:p>
    <w:p w:rsidR="00031B6E" w:rsidRDefault="003F22B2">
      <w:pPr>
        <w:numPr>
          <w:ilvl w:val="0"/>
          <w:numId w:val="34"/>
        </w:numPr>
        <w:snapToGrid w:val="0"/>
        <w:jc w:val="both"/>
        <w:rPr>
          <w:rFonts w:ascii="Times New Roman" w:hAnsi="Times New Roman"/>
          <w:sz w:val="22"/>
          <w:szCs w:val="22"/>
        </w:rPr>
      </w:pPr>
      <w:r>
        <w:rPr>
          <w:rStyle w:val="2"/>
          <w:rFonts w:ascii="Times New Roman" w:hAnsi="Times New Roman"/>
          <w:sz w:val="22"/>
          <w:szCs w:val="22"/>
        </w:rPr>
        <w:t>обеспечение нормальной работы программного продукта, в том числе после о</w:t>
      </w:r>
      <w:r>
        <w:rPr>
          <w:rStyle w:val="2"/>
          <w:rFonts w:ascii="Times New Roman" w:hAnsi="Times New Roman"/>
          <w:sz w:val="22"/>
          <w:szCs w:val="22"/>
        </w:rPr>
        <w:t>бновления и доработки;</w:t>
      </w:r>
    </w:p>
    <w:p w:rsidR="00031B6E" w:rsidRDefault="003F22B2">
      <w:pPr>
        <w:numPr>
          <w:ilvl w:val="0"/>
          <w:numId w:val="34"/>
        </w:numPr>
        <w:snapToGrid w:val="0"/>
        <w:jc w:val="both"/>
        <w:rPr>
          <w:rFonts w:ascii="Times New Roman" w:hAnsi="Times New Roman"/>
          <w:sz w:val="22"/>
          <w:szCs w:val="22"/>
        </w:rPr>
      </w:pPr>
      <w:r>
        <w:rPr>
          <w:rStyle w:val="2"/>
          <w:rFonts w:ascii="Times New Roman" w:hAnsi="Times New Roman"/>
          <w:sz w:val="22"/>
          <w:szCs w:val="22"/>
        </w:rPr>
        <w:t>разграничение прав доступа пользователей программного продукта к хранимым в них данным и функционалу программного продукта;</w:t>
      </w:r>
    </w:p>
    <w:p w:rsidR="00031B6E" w:rsidRDefault="003F22B2">
      <w:pPr>
        <w:numPr>
          <w:ilvl w:val="0"/>
          <w:numId w:val="34"/>
        </w:numPr>
        <w:snapToGri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повторная установка, настройка программного продукта в случае переустановки операционной системы, замены комп</w:t>
      </w:r>
      <w:r>
        <w:rPr>
          <w:rFonts w:ascii="Times New Roman" w:hAnsi="Times New Roman"/>
          <w:sz w:val="22"/>
          <w:szCs w:val="22"/>
        </w:rPr>
        <w:t>ьютера Заказчика;</w:t>
      </w:r>
    </w:p>
    <w:p w:rsidR="00031B6E" w:rsidRDefault="003F22B2">
      <w:pPr>
        <w:numPr>
          <w:ilvl w:val="0"/>
          <w:numId w:val="34"/>
        </w:numPr>
        <w:snapToGri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техническая консультация </w:t>
      </w:r>
      <w:r>
        <w:rPr>
          <w:rFonts w:ascii="Times New Roman" w:hAnsi="Times New Roman"/>
          <w:sz w:val="22"/>
          <w:szCs w:val="22"/>
          <w:lang w:val="en-US"/>
        </w:rPr>
        <w:t>IT</w:t>
      </w:r>
      <w:r>
        <w:rPr>
          <w:rFonts w:ascii="Times New Roman" w:hAnsi="Times New Roman"/>
          <w:sz w:val="22"/>
          <w:szCs w:val="22"/>
        </w:rPr>
        <w:t>-специалистов Заказчика по настройке и поддержанию работы программного продукта;</w:t>
      </w:r>
    </w:p>
    <w:p w:rsidR="00031B6E" w:rsidRDefault="003F22B2">
      <w:pPr>
        <w:numPr>
          <w:ilvl w:val="0"/>
          <w:numId w:val="34"/>
        </w:numPr>
        <w:snapToGrid w:val="0"/>
        <w:jc w:val="both"/>
        <w:rPr>
          <w:rFonts w:ascii="Times New Roman" w:hAnsi="Times New Roman"/>
          <w:sz w:val="22"/>
          <w:szCs w:val="22"/>
        </w:rPr>
      </w:pPr>
      <w:r w:rsidRPr="003F22B2">
        <w:rPr>
          <w:rFonts w:ascii="Times New Roman" w:eastAsia="Calibri" w:hAnsi="Times New Roman"/>
          <w:color w:val="0D0D0D"/>
          <w:sz w:val="22"/>
          <w:szCs w:val="22"/>
        </w:rPr>
        <w:t>подписка на Информационно-Технологическое Сопровождение (1С: КП ГУ ПРОФ) на 12 месяцев;</w:t>
      </w:r>
      <w:bookmarkStart w:id="0" w:name="_GoBack"/>
      <w:bookmarkEnd w:id="0"/>
    </w:p>
    <w:p w:rsidR="00031B6E" w:rsidRDefault="003F22B2">
      <w:pPr>
        <w:numPr>
          <w:ilvl w:val="0"/>
          <w:numId w:val="34"/>
        </w:numPr>
        <w:snapToGri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color w:val="0D0D0D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>нформационно-консультационное обслуживание программного продукта (6 часов).</w:t>
      </w:r>
    </w:p>
    <w:p w:rsidR="00031B6E" w:rsidRDefault="00031B6E">
      <w:pPr>
        <w:snapToGrid w:val="0"/>
        <w:jc w:val="both"/>
        <w:rPr>
          <w:rFonts w:ascii="Times New Roman" w:hAnsi="Times New Roman"/>
          <w:sz w:val="22"/>
          <w:szCs w:val="22"/>
        </w:rPr>
      </w:pPr>
    </w:p>
    <w:p w:rsidR="00031B6E" w:rsidRDefault="003F22B2">
      <w:pPr>
        <w:snapToGri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Модификация и обновление программы «Конфигурация для учреждений ФСИН для 1С: Предприятие 8» должны проводиться по следующим участкам, входящих </w:t>
      </w:r>
      <w:r>
        <w:rPr>
          <w:rFonts w:ascii="Times New Roman" w:hAnsi="Times New Roman"/>
          <w:sz w:val="22"/>
          <w:szCs w:val="22"/>
        </w:rPr>
        <w:t xml:space="preserve">в состав программного </w:t>
      </w:r>
      <w:r>
        <w:rPr>
          <w:rFonts w:ascii="Times New Roman" w:hAnsi="Times New Roman"/>
          <w:sz w:val="22"/>
          <w:szCs w:val="22"/>
        </w:rPr>
        <w:lastRenderedPageBreak/>
        <w:t>продукта, ранее установленного на компьютере Заказчика:</w:t>
      </w:r>
    </w:p>
    <w:p w:rsidR="00031B6E" w:rsidRDefault="00031B6E">
      <w:pPr>
        <w:snapToGrid w:val="0"/>
        <w:ind w:firstLine="567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561"/>
        <w:gridCol w:w="2410"/>
        <w:gridCol w:w="6374"/>
      </w:tblGrid>
      <w:tr w:rsidR="00031B6E">
        <w:tc>
          <w:tcPr>
            <w:tcW w:w="561" w:type="dxa"/>
            <w:shd w:val="clear" w:color="auto" w:fill="F2F2F2" w:themeFill="background1" w:themeFillShade="F2"/>
            <w:vAlign w:val="center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Участок бухгалтерского учета</w:t>
            </w:r>
          </w:p>
        </w:tc>
        <w:tc>
          <w:tcPr>
            <w:tcW w:w="6374" w:type="dxa"/>
            <w:shd w:val="clear" w:color="auto" w:fill="F2F2F2" w:themeFill="background1" w:themeFillShade="F2"/>
            <w:vAlign w:val="center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Описание автоматизированных функций участка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031B6E" w:rsidRDefault="003F22B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Учет лиц, отбывающих наказание в ИУ (осужденных) и содержащихся в СИЗО (в том числе </w:t>
            </w:r>
            <w:r>
              <w:rPr>
                <w:rFonts w:ascii="Times New Roman" w:hAnsi="Times New Roman"/>
                <w:sz w:val="22"/>
                <w:szCs w:val="22"/>
              </w:rPr>
              <w:t>количественный) и их личных денег.</w:t>
            </w:r>
          </w:p>
        </w:tc>
        <w:tc>
          <w:tcPr>
            <w:tcW w:w="6374" w:type="dxa"/>
          </w:tcPr>
          <w:p w:rsidR="00031B6E" w:rsidRDefault="003F22B2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031B6E" w:rsidRDefault="003F22B2">
            <w:pPr>
              <w:pStyle w:val="ac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перации </w:t>
            </w:r>
            <w:r>
              <w:rPr>
                <w:rFonts w:ascii="Times New Roman" w:hAnsi="Times New Roman"/>
                <w:sz w:val="22"/>
                <w:szCs w:val="22"/>
              </w:rPr>
              <w:t>регистрации поступления, перемещения и выбытия осужденных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должны оформляться документами, которые имеют печатные формы «Попутных ведомостей», «Финансовых справок», и при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проведении документов должны формироваться соответствующие проводки по бухгалтерскому учету</w:t>
            </w:r>
            <w:r>
              <w:rPr>
                <w:rFonts w:ascii="Times New Roman" w:hAnsi="Times New Roman"/>
                <w:sz w:val="22"/>
                <w:szCs w:val="22"/>
              </w:rPr>
              <w:t>),</w:t>
            </w:r>
          </w:p>
          <w:p w:rsidR="00031B6E" w:rsidRDefault="003F22B2">
            <w:pPr>
              <w:pStyle w:val="ac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операции регистрации исполнительных листов, их погашения и отзыва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должны оформляться документами, которые имеют печатные формы «Бланков почтовых перевод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ов», «Реестр почтовых переводов», «Списки на выплаты через кассу, на перевод по почте и на перечисление в банк», и при проведении документов должны формироваться соответствующие проводки по бухгалтерскому учету),</w:t>
            </w:r>
          </w:p>
          <w:p w:rsidR="00031B6E" w:rsidRDefault="003F22B2">
            <w:pPr>
              <w:pStyle w:val="ac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по учету личных денег, а именно их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поступление, удержания и ограничения лимитов расходования, которые можно оформить документами,</w:t>
            </w:r>
          </w:p>
          <w:p w:rsidR="00031B6E" w:rsidRDefault="003F22B2">
            <w:pPr>
              <w:pStyle w:val="ac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отчеты </w:t>
            </w:r>
            <w:r>
              <w:rPr>
                <w:rFonts w:ascii="Times New Roman" w:hAnsi="Times New Roman"/>
                <w:sz w:val="22"/>
                <w:szCs w:val="22"/>
              </w:rPr>
              <w:t>по личным деньгам, исполнительным листам и численности осужденных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(в том числе среднесписочной численности).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031B6E" w:rsidRDefault="003F22B2">
            <w:pPr>
              <w:pStyle w:val="ab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Учет молодняка и животных на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выращивании и откорме.</w:t>
            </w:r>
          </w:p>
          <w:p w:rsidR="00031B6E" w:rsidRDefault="00031B6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4" w:type="dxa"/>
          </w:tcPr>
          <w:p w:rsidR="00031B6E" w:rsidRDefault="003F22B2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031B6E" w:rsidRDefault="003F22B2">
            <w:pPr>
              <w:pStyle w:val="ac"/>
              <w:numPr>
                <w:ilvl w:val="0"/>
                <w:numId w:val="2"/>
              </w:numPr>
              <w:snapToGrid w:val="0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по учету молодняка и животных – </w:t>
            </w:r>
            <w:r>
              <w:rPr>
                <w:rFonts w:ascii="Times New Roman" w:hAnsi="Times New Roman"/>
                <w:sz w:val="22"/>
                <w:szCs w:val="22"/>
              </w:rPr>
              <w:t>привес, приплод, забой, падеж, перевод животных в другую возрастную группу, перевод животных в или из основного стада, поступление излишков в результате инвентари</w:t>
            </w:r>
            <w:r>
              <w:rPr>
                <w:rFonts w:ascii="Times New Roman" w:hAnsi="Times New Roman"/>
                <w:sz w:val="22"/>
                <w:szCs w:val="22"/>
              </w:rPr>
              <w:t>зации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(операции должны оформляться документами, которые имеют печатные формы «СП-39», «СП-47», «СП-54», «Акт на выбраковку животных из основного стада» и при проведении документов должны формироваться соответствующие проводки по бухгалтерскому учету),</w:t>
            </w:r>
          </w:p>
          <w:p w:rsidR="00031B6E" w:rsidRDefault="003F22B2">
            <w:pPr>
              <w:pStyle w:val="ac"/>
              <w:numPr>
                <w:ilvl w:val="0"/>
                <w:numId w:val="2"/>
              </w:numPr>
              <w:snapToGrid w:val="0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спра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вочник возрастных групп,</w:t>
            </w:r>
          </w:p>
          <w:p w:rsidR="00031B6E" w:rsidRDefault="003F22B2">
            <w:pPr>
              <w:pStyle w:val="ac"/>
              <w:numPr>
                <w:ilvl w:val="0"/>
                <w:numId w:val="2"/>
              </w:numPr>
              <w:snapToGrid w:val="0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отчет по </w:t>
            </w:r>
            <w:r>
              <w:rPr>
                <w:rFonts w:ascii="Times New Roman" w:hAnsi="Times New Roman"/>
                <w:sz w:val="22"/>
                <w:szCs w:val="22"/>
              </w:rPr>
              <w:t>форме СП-51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031B6E" w:rsidRDefault="003F22B2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Учет </w:t>
            </w:r>
            <w:r>
              <w:rPr>
                <w:rFonts w:ascii="Times New Roman" w:hAnsi="Times New Roman"/>
                <w:sz w:val="22"/>
                <w:szCs w:val="22"/>
              </w:rPr>
              <w:t>давальческого сырья у переработчика</w:t>
            </w:r>
          </w:p>
        </w:tc>
        <w:tc>
          <w:tcPr>
            <w:tcW w:w="6374" w:type="dxa"/>
          </w:tcPr>
          <w:p w:rsidR="00031B6E" w:rsidRDefault="003F22B2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031B6E" w:rsidRDefault="003F22B2">
            <w:pPr>
              <w:pStyle w:val="ac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по учету давальческого сырья, а именно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 поступлению, возврату, внутреннему перемещению, отпуску сырья в </w:t>
            </w:r>
            <w:r>
              <w:rPr>
                <w:rFonts w:ascii="Times New Roman" w:hAnsi="Times New Roman"/>
                <w:sz w:val="22"/>
                <w:szCs w:val="22"/>
              </w:rPr>
              <w:t>переработку и выдачи продукции заказчику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должны оформляться документами, которые имеют печатные формы «Акт списания сырья», «Акт приема-передачи», «Акт об оказании услуг», «Акт выполненных работ», и при проведении документов должны формироваться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соответствующие проводки по бухгалтерскому учету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  <w:p w:rsidR="00031B6E" w:rsidRDefault="003F22B2">
            <w:pPr>
              <w:pStyle w:val="ac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отчеты «Отчет переработчика», «Сверка с поставщиком»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031B6E" w:rsidRDefault="003F22B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Учет ценностей осужденных</w:t>
            </w:r>
          </w:p>
        </w:tc>
        <w:tc>
          <w:tcPr>
            <w:tcW w:w="6374" w:type="dxa"/>
          </w:tcPr>
          <w:p w:rsidR="00031B6E" w:rsidRDefault="003F22B2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Участок должен быть предназначен для автоматизированного оперативного и бухгалтерского учета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ценностей, которые поступают в учреждения на время заключения осужденного.</w:t>
            </w:r>
          </w:p>
          <w:p w:rsidR="00031B6E" w:rsidRDefault="003F22B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031B6E" w:rsidRDefault="003F22B2">
            <w:pPr>
              <w:pStyle w:val="ac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по учету ценностей осужденных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, а именно по оформле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нию поступления, переоценки, перемещения и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возврата ценностей осужденных, Отчет кассира по ценностям осужденных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должны оформляться документами, которые имеют печатные формы «Акт приема ценностей», «Сопроводительная ведомость», «Опись вложения», 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при проведении документов должны формироваться соответствующие проводки по бухгалтерскому учету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  <w:p w:rsidR="00031B6E" w:rsidRDefault="003F22B2">
            <w:pPr>
              <w:pStyle w:val="ac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по учету ценностей осужденного в пакете, с возможностью поиска пакета по штрих коду и печатью «Этикетки для пакета ценностей с формированием штрих к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ода»,</w:t>
            </w:r>
          </w:p>
          <w:p w:rsidR="00031B6E" w:rsidRDefault="003F22B2">
            <w:pPr>
              <w:pStyle w:val="ac"/>
              <w:numPr>
                <w:ilvl w:val="0"/>
                <w:numId w:val="4"/>
              </w:numP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отчеты «Книга учета ценностей осужденных», «Кассовая книга по учету ценностей осужденных», «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Журнал регистрации кассовых ордеров по ценностям осужденных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».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2410" w:type="dxa"/>
          </w:tcPr>
          <w:p w:rsidR="00031B6E" w:rsidRDefault="003F22B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Учет расхода ГСМ и путевых листов</w:t>
            </w:r>
          </w:p>
        </w:tc>
        <w:tc>
          <w:tcPr>
            <w:tcW w:w="6374" w:type="dxa"/>
          </w:tcPr>
          <w:p w:rsidR="00031B6E" w:rsidRDefault="003F22B2">
            <w:pP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031B6E" w:rsidRDefault="003F22B2">
            <w:pPr>
              <w:pStyle w:val="ac"/>
              <w:numPr>
                <w:ilvl w:val="0"/>
                <w:numId w:val="5"/>
              </w:numP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справочник, который </w:t>
            </w:r>
            <w:r>
              <w:rPr>
                <w:rFonts w:ascii="Times New Roman" w:hAnsi="Times New Roman"/>
                <w:sz w:val="22"/>
                <w:szCs w:val="22"/>
              </w:rPr>
              <w:t>предназначен для отражения информации по автотранспорту, в том числе по типу автотранспортных средств (легковые, грузовые, мотолодки), по применяемому для данного автотранспорта типу и нормам расхода топлива, масла, видам коэффициентов расхода топлива, пок</w:t>
            </w:r>
            <w:r>
              <w:rPr>
                <w:rFonts w:ascii="Times New Roman" w:hAnsi="Times New Roman"/>
                <w:sz w:val="22"/>
                <w:szCs w:val="22"/>
              </w:rPr>
              <w:t>азаний спидометра, пробегу автомобиля,</w:t>
            </w:r>
          </w:p>
          <w:p w:rsidR="00031B6E" w:rsidRDefault="003F22B2">
            <w:pPr>
              <w:pStyle w:val="ac"/>
              <w:numPr>
                <w:ilvl w:val="0"/>
                <w:numId w:val="5"/>
              </w:numP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справочник, который предназначен для отражения мест отправления/назначения, в том числе расстояний между местом отправления и местом назначения, времени проезда, дорожного коэффициента,</w:t>
            </w:r>
          </w:p>
          <w:p w:rsidR="00031B6E" w:rsidRDefault="003F22B2">
            <w:pPr>
              <w:pStyle w:val="ac"/>
              <w:numPr>
                <w:ilvl w:val="0"/>
                <w:numId w:val="5"/>
              </w:numP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документ, являющийся первичным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документом для учета пробега, маршрута автомобиля, расхода ГСМ, а также основанием для списания ГСМ. Документ должен формировать и отражать в учете проводки по списанию ГСМ, производить расчет расхода ГСМ на определенном маршруте по типам автотранспортных </w:t>
            </w:r>
            <w:r>
              <w:rPr>
                <w:rFonts w:ascii="Times New Roman" w:hAnsi="Times New Roman"/>
                <w:sz w:val="22"/>
                <w:szCs w:val="22"/>
              </w:rPr>
              <w:t>средств с учетом различных коэффициентов расхода. Данный документ должен быть основанием для автоматического заполнения документа по покупке материальных запасов», а также должен иметь печатную форму «Путевой лист автотранспортного средства»,</w:t>
            </w:r>
          </w:p>
          <w:p w:rsidR="00031B6E" w:rsidRDefault="003F22B2">
            <w:pPr>
              <w:pStyle w:val="ac"/>
              <w:numPr>
                <w:ilvl w:val="0"/>
                <w:numId w:val="5"/>
              </w:numP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отчет, которы</w:t>
            </w:r>
            <w:r>
              <w:rPr>
                <w:rFonts w:ascii="Times New Roman" w:hAnsi="Times New Roman"/>
                <w:sz w:val="22"/>
                <w:szCs w:val="22"/>
              </w:rPr>
              <w:t>й предназначен для формирования печатной формы акта на списание горюче-смазочных материалов. Отчет должен отражать следующую информацию: тип автомобиля, вид ГСМ, пробег, остаток топлива на определенную дату, приход топлива, расход топлива по норме, фактиче</w:t>
            </w:r>
            <w:r>
              <w:rPr>
                <w:rFonts w:ascii="Times New Roman" w:hAnsi="Times New Roman"/>
                <w:sz w:val="22"/>
                <w:szCs w:val="22"/>
              </w:rPr>
              <w:t>ский расход топлива, остаток топлива на определенное число, показания спидометра.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="00031B6E" w:rsidRDefault="003F22B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Учет вещевого обеспечения осужденных и сотрудников ФСИН.</w:t>
            </w:r>
          </w:p>
        </w:tc>
        <w:tc>
          <w:tcPr>
            <w:tcW w:w="6374" w:type="dxa"/>
          </w:tcPr>
          <w:p w:rsidR="00031B6E" w:rsidRDefault="003F22B2">
            <w:pPr>
              <w:snapToGrid w:val="0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031B6E" w:rsidRDefault="003F22B2">
            <w:pPr>
              <w:pStyle w:val="ac"/>
              <w:numPr>
                <w:ilvl w:val="0"/>
                <w:numId w:val="6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по учету вещевого обеспечения – установка норм, регистрация,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получение у контрагента, выдача, приостановление и возобновление срока носки, возврат, внутреннее перемещение, списание (операции должны оформляться документами, которые имеют печатные формы «Раздаточная (сдаточная) ведомость», «Приложение к акту списания»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, «Акт об утилизации мягкого и хозяйственного инвентаря» и при проведении документов должны формироваться соответствующие проводки по бухгалтерскому учету).</w:t>
            </w:r>
          </w:p>
          <w:p w:rsidR="00031B6E" w:rsidRDefault="003F22B2">
            <w:pPr>
              <w:pStyle w:val="ac"/>
              <w:numPr>
                <w:ilvl w:val="0"/>
                <w:numId w:val="6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справочники для ведения «Типов вещевого обеспечения» и «Норм вещевого обеспечения» с указанием разм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ера денежных компенсаций, способа учета на счетах бухгалтерского учета, порядка взаиморасчетов за выданное вещевое обеспечение и возможностью указания списка замен для отсутствующего в наличии типа вещевого обеспечения,</w:t>
            </w:r>
          </w:p>
          <w:p w:rsidR="00031B6E" w:rsidRDefault="003F22B2">
            <w:pPr>
              <w:pStyle w:val="ac"/>
              <w:numPr>
                <w:ilvl w:val="0"/>
                <w:numId w:val="6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отчеты «Б/у вещевое обеспечение на с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кладе», «Вещевое обеспечение, выданное сотрудникам», «Расчеты с сотрудниками», «Арматурная карточка», «Карточка (книга) учета выдачи имущества в пользование», «Взаиморасчеты за вещевое обеспечение», «Лицевой счет по обеспечению предметами вещевого имуществ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а».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2410" w:type="dxa"/>
          </w:tcPr>
          <w:p w:rsidR="00031B6E" w:rsidRDefault="003F22B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Учет питания осужденных</w:t>
            </w:r>
          </w:p>
        </w:tc>
        <w:tc>
          <w:tcPr>
            <w:tcW w:w="6374" w:type="dxa"/>
          </w:tcPr>
          <w:p w:rsidR="00031B6E" w:rsidRDefault="003F22B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его состав должны входить:</w:t>
            </w:r>
          </w:p>
          <w:p w:rsidR="00031B6E" w:rsidRDefault="003F22B2">
            <w:pPr>
              <w:pStyle w:val="ac"/>
              <w:numPr>
                <w:ilvl w:val="0"/>
                <w:numId w:val="7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операции по регистрации категорий довольствующихся и их количества по учреждению, перемещения и списания продуктов питания в соответствии с нормами в разрезе категорий </w:t>
            </w:r>
            <w:r>
              <w:rPr>
                <w:rFonts w:ascii="Times New Roman" w:hAnsi="Times New Roman"/>
                <w:sz w:val="22"/>
                <w:szCs w:val="22"/>
              </w:rPr>
              <w:t>довольствующихся с возможность замены продуктов по коэффициентам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должны оформляться документами, которые имеют печатные формы «</w:t>
            </w:r>
            <w:r>
              <w:rPr>
                <w:rFonts w:ascii="Times New Roman" w:hAnsi="Times New Roman"/>
                <w:sz w:val="22"/>
                <w:szCs w:val="22"/>
              </w:rPr>
              <w:t>Меню-требование с возможностью вывода в разрезе приемов пищи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», «</w:t>
            </w:r>
            <w:r>
              <w:rPr>
                <w:rFonts w:ascii="Times New Roman" w:hAnsi="Times New Roman"/>
                <w:sz w:val="22"/>
                <w:szCs w:val="22"/>
              </w:rPr>
              <w:t>Котловой ордер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», «Таблица замен продуктов питания» и пр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и проведении документов должны формироваться соответствующие проводки по бухгалтерскому учету</w:t>
            </w:r>
            <w:r>
              <w:rPr>
                <w:rFonts w:ascii="Times New Roman" w:hAnsi="Times New Roman"/>
                <w:sz w:val="22"/>
                <w:szCs w:val="22"/>
              </w:rPr>
              <w:t>),</w:t>
            </w:r>
          </w:p>
          <w:p w:rsidR="00031B6E" w:rsidRDefault="003F22B2">
            <w:pPr>
              <w:pStyle w:val="ac"/>
              <w:numPr>
                <w:ilvl w:val="0"/>
                <w:numId w:val="7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возможность составления раскладок вариантов меню как списку продуктов питания, так и по списку готовых блюд.</w:t>
            </w:r>
          </w:p>
          <w:p w:rsidR="00031B6E" w:rsidRDefault="003F22B2">
            <w:pPr>
              <w:pStyle w:val="ac"/>
              <w:numPr>
                <w:ilvl w:val="0"/>
                <w:numId w:val="7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справочники «Приемы пищи», «Варианты меню», «Катего</w:t>
            </w:r>
            <w:r>
              <w:rPr>
                <w:rFonts w:ascii="Times New Roman" w:hAnsi="Times New Roman"/>
                <w:sz w:val="22"/>
                <w:szCs w:val="22"/>
              </w:rPr>
              <w:t>рии довольствующихся» с указанием нормы потребления (как еженедельной, так и ежедневной).</w:t>
            </w:r>
          </w:p>
          <w:p w:rsidR="00031B6E" w:rsidRDefault="003F22B2">
            <w:pPr>
              <w:pStyle w:val="ac"/>
              <w:numPr>
                <w:ilvl w:val="0"/>
                <w:numId w:val="7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отчеты «Отчет по замене продуктов», «Накопительная ведомость по приходу продуктов питания (ф. 0504037)», «Накопительная ведомость по расходу продуктов питания (ф.0504</w:t>
            </w:r>
            <w:r>
              <w:rPr>
                <w:rFonts w:ascii="Times New Roman" w:hAnsi="Times New Roman"/>
                <w:sz w:val="22"/>
                <w:szCs w:val="22"/>
              </w:rPr>
              <w:t>038)», «Поступление продуктов питания по поставщикам», «Расход продуктов по категориям довольствующихся».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031B6E" w:rsidRDefault="003F22B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Учет комиссионных товаров</w:t>
            </w:r>
          </w:p>
        </w:tc>
        <w:tc>
          <w:tcPr>
            <w:tcW w:w="6374" w:type="dxa"/>
          </w:tcPr>
          <w:p w:rsidR="00031B6E" w:rsidRDefault="003F22B2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его состав должны входить:</w:t>
            </w:r>
          </w:p>
          <w:p w:rsidR="00031B6E" w:rsidRDefault="003F22B2">
            <w:pPr>
              <w:pStyle w:val="ac"/>
              <w:numPr>
                <w:ilvl w:val="0"/>
                <w:numId w:val="8"/>
              </w:num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по учету комиссионных товаров, а именно </w:t>
            </w:r>
            <w:r>
              <w:rPr>
                <w:rFonts w:ascii="Times New Roman" w:hAnsi="Times New Roman"/>
                <w:sz w:val="22"/>
                <w:szCs w:val="22"/>
              </w:rPr>
              <w:t>поступление комиссионных товаров, внутреннее перемещение, возврат и реализация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операции должны оформляться документами, которые имеют печатные формы «Акт об оказании услуг комитенту», «КОМИС-4» и при провед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ении документов должны формироваться соответствующие проводки по бухгалтерскому учету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  <w:p w:rsidR="00031B6E" w:rsidRDefault="003F22B2">
            <w:pPr>
              <w:pStyle w:val="ac"/>
              <w:numPr>
                <w:ilvl w:val="0"/>
                <w:numId w:val="8"/>
              </w:num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возможность на основании реализации комиссионных товаров формировать проводки как по списанию комиссионных товаров, так и по расчетам с комитентом.</w:t>
            </w:r>
          </w:p>
          <w:p w:rsidR="00031B6E" w:rsidRDefault="003F22B2">
            <w:pPr>
              <w:pStyle w:val="ac"/>
              <w:numPr>
                <w:ilvl w:val="0"/>
                <w:numId w:val="8"/>
              </w:num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возможность на основ</w:t>
            </w:r>
            <w:r>
              <w:rPr>
                <w:rFonts w:ascii="Times New Roman" w:hAnsi="Times New Roman"/>
                <w:sz w:val="22"/>
                <w:szCs w:val="22"/>
              </w:rPr>
              <w:t>ании документов по учету комиссионных товаров формировать отчет комиссионера за определенный период, а также «Карточка учета товаров и расчетов по договору комиссии» по форме КОМИС-6.</w:t>
            </w:r>
          </w:p>
          <w:p w:rsidR="00031B6E" w:rsidRDefault="00031B6E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031B6E" w:rsidRDefault="003F22B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Учет производственной деятельности</w:t>
            </w:r>
          </w:p>
        </w:tc>
        <w:tc>
          <w:tcPr>
            <w:tcW w:w="6374" w:type="dxa"/>
          </w:tcPr>
          <w:p w:rsidR="00031B6E" w:rsidRDefault="003F22B2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его состав должны входить:</w:t>
            </w:r>
          </w:p>
          <w:p w:rsidR="00031B6E" w:rsidRDefault="003F22B2">
            <w:pPr>
              <w:pStyle w:val="ac"/>
              <w:numPr>
                <w:ilvl w:val="0"/>
                <w:numId w:val="9"/>
              </w:num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чету производства, а именно выпуск продукции, отнесение затрат на ее изготовление, учет услуг, закрытие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производственных счетов с корректировкой плановой стоимости продукции до фактической, чтобы эти операции можно было оформить документами, которые имеют </w:t>
            </w:r>
            <w:r>
              <w:rPr>
                <w:rFonts w:ascii="Times New Roman" w:hAnsi="Times New Roman"/>
                <w:sz w:val="22"/>
                <w:szCs w:val="22"/>
              </w:rPr>
              <w:t>печатные формы, и при их проведении были сформированы соответствующие проводки.</w:t>
            </w:r>
          </w:p>
          <w:p w:rsidR="00031B6E" w:rsidRDefault="003F22B2">
            <w:pPr>
              <w:pStyle w:val="ac"/>
              <w:numPr>
                <w:ilvl w:val="0"/>
                <w:numId w:val="9"/>
              </w:num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автоматизированная цепочка производственных операций по учету готовых блюд, продукции и списания сырья на их изготовление,</w:t>
            </w:r>
          </w:p>
          <w:p w:rsidR="00031B6E" w:rsidRDefault="003F22B2">
            <w:pPr>
              <w:pStyle w:val="ac"/>
              <w:numPr>
                <w:ilvl w:val="0"/>
                <w:numId w:val="9"/>
              </w:num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возможность закрытия производственных счетов по конкр</w:t>
            </w:r>
            <w:r>
              <w:rPr>
                <w:rFonts w:ascii="Times New Roman" w:hAnsi="Times New Roman"/>
                <w:sz w:val="22"/>
                <w:szCs w:val="22"/>
              </w:rPr>
              <w:t>етному источнику финансового обеспечения (далее - ИФО), по-пустому ИФО, по всем ИФО.</w:t>
            </w:r>
          </w:p>
          <w:p w:rsidR="00031B6E" w:rsidRDefault="003F22B2">
            <w:pPr>
              <w:pStyle w:val="ac"/>
              <w:numPr>
                <w:ilvl w:val="0"/>
                <w:numId w:val="9"/>
              </w:num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возможность одним документом списывать сырье на несколько видов продукции,</w:t>
            </w:r>
          </w:p>
          <w:p w:rsidR="00031B6E" w:rsidRDefault="003F22B2">
            <w:pPr>
              <w:pStyle w:val="ac"/>
              <w:numPr>
                <w:ilvl w:val="0"/>
                <w:numId w:val="9"/>
              </w:num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проведение реализации продукции по нескольким направлениям деятельности (аналитике счета доходов</w:t>
            </w:r>
            <w:r>
              <w:rPr>
                <w:rFonts w:ascii="Times New Roman" w:hAnsi="Times New Roman"/>
                <w:sz w:val="22"/>
                <w:szCs w:val="22"/>
              </w:rPr>
              <w:t>) одним документом,</w:t>
            </w:r>
          </w:p>
          <w:p w:rsidR="00031B6E" w:rsidRDefault="003F22B2">
            <w:pPr>
              <w:pStyle w:val="ac"/>
              <w:numPr>
                <w:ilvl w:val="0"/>
                <w:numId w:val="9"/>
              </w:num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ведение калькуляции себестоимости реализованной продукции с возможность ввода начальных остатков для учета себестоимости реализованной продукции отдельным документом,</w:t>
            </w:r>
          </w:p>
          <w:p w:rsidR="00031B6E" w:rsidRDefault="003F22B2">
            <w:pPr>
              <w:pStyle w:val="ac"/>
              <w:numPr>
                <w:ilvl w:val="0"/>
                <w:numId w:val="9"/>
              </w:num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возможность распределения косвенных затрат на </w:t>
            </w:r>
            <w:r>
              <w:rPr>
                <w:rFonts w:ascii="Times New Roman" w:hAnsi="Times New Roman"/>
                <w:sz w:val="22"/>
                <w:szCs w:val="22"/>
              </w:rPr>
              <w:t>незавершенное производство разными способами (пропорционально выпускам продукции и услугам, пропорционально затратам) и формирования Ведомости остатков незавершенного производства,</w:t>
            </w:r>
          </w:p>
          <w:p w:rsidR="00031B6E" w:rsidRDefault="003F22B2">
            <w:pPr>
              <w:pStyle w:val="ac"/>
              <w:numPr>
                <w:ilvl w:val="0"/>
                <w:numId w:val="9"/>
              </w:num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учет материалов в производстве (с возможностью ввода остатков материалов в </w:t>
            </w:r>
            <w:r>
              <w:rPr>
                <w:rFonts w:ascii="Times New Roman" w:hAnsi="Times New Roman"/>
                <w:sz w:val="22"/>
                <w:szCs w:val="22"/>
              </w:rPr>
              <w:t>производстве отдельным документом и дальнейшим автоматическим заполнением данных при инвентаризация незавершенного производства).</w:t>
            </w:r>
          </w:p>
          <w:p w:rsidR="00031B6E" w:rsidRDefault="003F22B2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Также в состав участка должны входить:</w:t>
            </w:r>
          </w:p>
          <w:p w:rsidR="00031B6E" w:rsidRDefault="003F22B2">
            <w:pPr>
              <w:pStyle w:val="ac"/>
              <w:numPr>
                <w:ilvl w:val="0"/>
                <w:numId w:val="10"/>
              </w:num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отчеты (по калькуляции произведенной и реализованной продукции),</w:t>
            </w:r>
          </w:p>
          <w:p w:rsidR="00031B6E" w:rsidRDefault="003F22B2">
            <w:pPr>
              <w:pStyle w:val="ac"/>
              <w:numPr>
                <w:ilvl w:val="0"/>
                <w:numId w:val="10"/>
              </w:num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документ «Калькуляция </w:t>
            </w:r>
            <w:r>
              <w:rPr>
                <w:rFonts w:ascii="Times New Roman" w:hAnsi="Times New Roman"/>
                <w:sz w:val="22"/>
                <w:szCs w:val="22"/>
              </w:rPr>
              <w:t>блюд», формирующий печатную форму «Калькуляционная карточка» и документы списания и внутреннего перемещения материалов,</w:t>
            </w:r>
          </w:p>
          <w:p w:rsidR="00031B6E" w:rsidRDefault="003F22B2">
            <w:pPr>
              <w:pStyle w:val="ac"/>
              <w:numPr>
                <w:ilvl w:val="0"/>
                <w:numId w:val="10"/>
              </w:num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справочник «Технологических карт» (с указанием сборника рецептур, номера рецептуры и технологии приготовления) с возможность вывода печа</w:t>
            </w:r>
            <w:r>
              <w:rPr>
                <w:rFonts w:ascii="Times New Roman" w:hAnsi="Times New Roman"/>
                <w:sz w:val="22"/>
                <w:szCs w:val="22"/>
              </w:rPr>
              <w:t>тной формы «Технологической карты».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2410" w:type="dxa"/>
          </w:tcPr>
          <w:p w:rsidR="00031B6E" w:rsidRDefault="003F22B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Учетная политика учреждения</w:t>
            </w:r>
          </w:p>
        </w:tc>
        <w:tc>
          <w:tcPr>
            <w:tcW w:w="6374" w:type="dxa"/>
          </w:tcPr>
          <w:p w:rsidR="00031B6E" w:rsidRDefault="003F22B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основании настроек и данных, имеющихся в информационной базе программного продукта (а также путем ответов на дополнительные вопросы) должна иметься возможность формирования приказа об у</w:t>
            </w:r>
            <w:r>
              <w:rPr>
                <w:rFonts w:ascii="Times New Roman" w:hAnsi="Times New Roman"/>
                <w:sz w:val="22"/>
                <w:szCs w:val="22"/>
              </w:rPr>
              <w:t>четной политике учреждения для дальнейшего вывода на печать и заверения ответственными лицами.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031B6E" w:rsidRDefault="003F22B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информационной базы</w:t>
            </w:r>
          </w:p>
        </w:tc>
        <w:tc>
          <w:tcPr>
            <w:tcW w:w="6374" w:type="dxa"/>
          </w:tcPr>
          <w:p w:rsidR="00031B6E" w:rsidRDefault="003F22B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В его состав должны входить:</w:t>
            </w:r>
          </w:p>
          <w:p w:rsidR="00031B6E" w:rsidRDefault="003F22B2">
            <w:pPr>
              <w:pStyle w:val="ac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ahoma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тчет по контролю соответствия кассовых и фактических расходов», предназначенный для проверки целевого использования средств в учреждениях ФСИН, выявления возможных ошибок в цепочке операций от </w:t>
            </w:r>
            <w:r>
              <w:rPr>
                <w:rFonts w:ascii="Times New Roman" w:hAnsi="Times New Roman"/>
                <w:sz w:val="22"/>
                <w:szCs w:val="22"/>
              </w:rPr>
              <w:t>кассовых до фактических расходов, связанных с неверными проводками, пересортицей по КПС и КЭК. Отчет должен формироваться за определенный период по кодам финансового обеспечения, по организациям, по КПС, по КЭК, по источникам финансового обеспечения. Отчет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должен выводить данные по остаткам на начало периода, оборотам за период, на конец периода должен анализировать данные по кассовым расходам, фактическим расходам, выявлять суммы предполагаемой ошибки и причины отклонений, а также давать комментарии, за сч</w:t>
            </w:r>
            <w:r>
              <w:rPr>
                <w:rFonts w:ascii="Times New Roman" w:hAnsi="Times New Roman"/>
                <w:sz w:val="22"/>
                <w:szCs w:val="22"/>
              </w:rPr>
              <w:t>ет чего возникли отклонения.  Каждая ячейка в данном отчете должна расшифровывать значение суммы;</w:t>
            </w:r>
          </w:p>
          <w:p w:rsidR="00031B6E" w:rsidRDefault="003F22B2">
            <w:pPr>
              <w:pStyle w:val="ac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отчет с выводом ошибок по бухгалтерскому учету в разрезе участков и исполнителей, предназначенный для выявления ошибок в разрезе ИФО учреждения, совершаемых п</w:t>
            </w:r>
            <w:r>
              <w:rPr>
                <w:rFonts w:ascii="Times New Roman" w:hAnsi="Times New Roman"/>
                <w:sz w:val="22"/>
                <w:szCs w:val="22"/>
              </w:rPr>
              <w:t>ри ведении учета в учреждениях ФСИН, с указанием бухгалтера, совершившего ошибку, по:</w:t>
            </w:r>
          </w:p>
          <w:p w:rsidR="00031B6E" w:rsidRDefault="003F22B2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неправильному использованию расходного и доходного КПС;</w:t>
            </w:r>
          </w:p>
          <w:p w:rsidR="00031B6E" w:rsidRDefault="003F22B2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проводкам с использованием счета 106;</w:t>
            </w:r>
          </w:p>
          <w:p w:rsidR="00031B6E" w:rsidRDefault="003F22B2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проводкам начисления по счетам 303, 304.02, 304.03, в которых неверно примен</w:t>
            </w:r>
            <w:r>
              <w:rPr>
                <w:rFonts w:ascii="Times New Roman" w:hAnsi="Times New Roman"/>
                <w:sz w:val="22"/>
                <w:szCs w:val="22"/>
              </w:rPr>
              <w:t>яется КЭК по корсчету;</w:t>
            </w:r>
          </w:p>
          <w:p w:rsidR="00031B6E" w:rsidRDefault="003F22B2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проводкам, в которых КПС и КЭК по счету 401.10 и 401.20, 17.1 неверные;</w:t>
            </w:r>
          </w:p>
          <w:p w:rsidR="00031B6E" w:rsidRDefault="003F22B2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 отражаются ошибки, а именно:</w:t>
            </w:r>
          </w:p>
          <w:p w:rsidR="00031B6E" w:rsidRDefault="003F22B2">
            <w:pPr>
              <w:pStyle w:val="DefaultText"/>
              <w:ind w:left="14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по которым ведется учет не по одному КПС;</w:t>
            </w:r>
          </w:p>
          <w:p w:rsidR="00031B6E" w:rsidRDefault="003F22B2">
            <w:pPr>
              <w:pStyle w:val="DefaultText"/>
              <w:ind w:left="14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учета амортизации и балансовой стоимости в карточке ОС на счетах бухгалтерского у</w:t>
            </w:r>
            <w:r>
              <w:rPr>
                <w:sz w:val="22"/>
                <w:szCs w:val="22"/>
              </w:rPr>
              <w:t>чет</w:t>
            </w:r>
          </w:p>
          <w:p w:rsidR="00031B6E" w:rsidRDefault="003F22B2">
            <w:pPr>
              <w:pStyle w:val="DefaultText"/>
              <w:ind w:left="14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 расчета начисленной амортизации.</w:t>
            </w:r>
          </w:p>
          <w:p w:rsidR="00031B6E" w:rsidRDefault="003F22B2">
            <w:pPr>
              <w:pStyle w:val="DefaultText"/>
              <w:numPr>
                <w:ilvl w:val="0"/>
                <w:numId w:val="12"/>
              </w:numPr>
              <w:ind w:left="1139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операциям учета НДС;</w:t>
            </w:r>
          </w:p>
          <w:p w:rsidR="00031B6E" w:rsidRDefault="003F22B2">
            <w:pPr>
              <w:pStyle w:val="DefaultText"/>
              <w:numPr>
                <w:ilvl w:val="0"/>
                <w:numId w:val="12"/>
              </w:numPr>
              <w:ind w:left="1139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операциям учета МЗ по фактической стоимости;</w:t>
            </w:r>
          </w:p>
          <w:p w:rsidR="00031B6E" w:rsidRDefault="003F22B2">
            <w:pPr>
              <w:pStyle w:val="DefaultText"/>
              <w:numPr>
                <w:ilvl w:val="0"/>
                <w:numId w:val="12"/>
              </w:numPr>
              <w:ind w:left="1139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операциям, в которых отражается списание просроченной задолженности.</w:t>
            </w:r>
          </w:p>
          <w:p w:rsidR="00031B6E" w:rsidRDefault="003F22B2">
            <w:pPr>
              <w:pStyle w:val="DefaultText"/>
              <w:ind w:left="113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должен формироваться за необходимый период. Каждая строка в данном отчете д</w:t>
            </w:r>
            <w:r>
              <w:rPr>
                <w:sz w:val="22"/>
                <w:szCs w:val="22"/>
              </w:rPr>
              <w:t>олжна раскрываться на документ, где была допущена ошибка.</w:t>
            </w:r>
          </w:p>
          <w:p w:rsidR="00031B6E" w:rsidRDefault="003F22B2">
            <w:pPr>
              <w:pStyle w:val="DefaultText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отчет «Анализ исполнения договоров с поставщиками», в котором д</w:t>
            </w:r>
            <w:r>
              <w:rPr>
                <w:sz w:val="22"/>
                <w:szCs w:val="22"/>
              </w:rPr>
              <w:t xml:space="preserve">анные выводятся в разрезе по контрагентам, договорам, КФО, КПС, КЭК. В этом отчете должна отражаться информация о принятых </w:t>
            </w:r>
            <w:r>
              <w:rPr>
                <w:sz w:val="22"/>
                <w:szCs w:val="22"/>
              </w:rPr>
              <w:t>бюджетных обязательствах, принятых денежных обязательствах, начальных и конечных остатках выданных авансов; должны видны быть полученные суммы, суммы, оплаченные поставщику, начальное и конечное сальдо расчетов.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2410" w:type="dxa"/>
          </w:tcPr>
          <w:p w:rsidR="00031B6E" w:rsidRDefault="003F22B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Учет администрирования доходов</w:t>
            </w:r>
          </w:p>
        </w:tc>
        <w:tc>
          <w:tcPr>
            <w:tcW w:w="6374" w:type="dxa"/>
          </w:tcPr>
          <w:p w:rsidR="00031B6E" w:rsidRDefault="003F22B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его сос</w:t>
            </w:r>
            <w:r>
              <w:rPr>
                <w:rFonts w:ascii="Times New Roman" w:hAnsi="Times New Roman"/>
                <w:sz w:val="22"/>
                <w:szCs w:val="22"/>
              </w:rPr>
              <w:t>тав должны входить:</w:t>
            </w:r>
          </w:p>
          <w:p w:rsidR="00031B6E" w:rsidRDefault="003F22B2">
            <w:pPr>
              <w:pStyle w:val="ac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формат обмена с ОФК (УФК) АДБ для загрузки «Выписки из лицевого счета администратора доходов бюджета». В выписке из лицевого счета должны отражаться документы поступления денежных средств (документы кассовых поступлений), суммы поступле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ний, возвратов и зачетов, неисполненные операции, служебные отметки. При проведении документа кассового поступления должны формироваться проводки в дебет выбранного счета и кредит 205,</w:t>
            </w:r>
          </w:p>
          <w:p w:rsidR="00031B6E" w:rsidRDefault="003F22B2">
            <w:pPr>
              <w:pStyle w:val="ac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загрузка начисленных платежей должна осуществляться специальной обработ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 xml:space="preserve">кой в документ реализация услуг. Для этого в документе должен быть добавлен вид операции «Начисление АДБ» для формирования 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проводок в дебет счета 205,</w:t>
            </w:r>
          </w:p>
          <w:p w:rsidR="00031B6E" w:rsidRDefault="003F22B2">
            <w:pPr>
              <w:pStyle w:val="ac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расширенная загрузка документов из органа Федерального казначейства, а именно – информация о плательщиках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, ОКАТО платежа,</w:t>
            </w:r>
          </w:p>
          <w:p w:rsidR="00031B6E" w:rsidRDefault="003F22B2">
            <w:pPr>
              <w:pStyle w:val="ac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в документе «Извещение» должна быть добавлена операция «Передача АДБ» для использования в случае передачи платежей подведомственными учреждениям для автоматического заполнения документа «Извещение» по ОКАТМО подведомственного/иного учрежде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ния (проводка Дт 205 Кт 304.04),</w:t>
            </w:r>
          </w:p>
          <w:p w:rsidR="00031B6E" w:rsidRDefault="003F22B2">
            <w:pPr>
              <w:pStyle w:val="ac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отчеты по сопоставлению начисленных сумм и сумм поступившей оплаты (по наименованию Контрагента).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2410" w:type="dxa"/>
          </w:tcPr>
          <w:p w:rsidR="00031B6E" w:rsidRDefault="003F22B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бухгалтерской отчетности</w:t>
            </w:r>
          </w:p>
        </w:tc>
        <w:tc>
          <w:tcPr>
            <w:tcW w:w="6374" w:type="dxa"/>
          </w:tcPr>
          <w:p w:rsidR="00031B6E" w:rsidRDefault="003F22B2">
            <w:pPr>
              <w:pStyle w:val="Default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программном продукте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Tahoma"/>
                <w:sz w:val="22"/>
                <w:szCs w:val="22"/>
              </w:rPr>
              <w:t>должен быть</w:t>
            </w:r>
            <w:r>
              <w:rPr>
                <w:sz w:val="22"/>
                <w:szCs w:val="22"/>
              </w:rPr>
              <w:t xml:space="preserve"> реализован «Помощник формирования бухгалтерской отчетности», который должен быть предназначен для автоматического заполнения регламентированной бухгалтерской отчетности.</w:t>
            </w:r>
          </w:p>
          <w:p w:rsidR="00031B6E" w:rsidRDefault="003F22B2">
            <w:pPr>
              <w:tabs>
                <w:tab w:val="left" w:pos="690"/>
              </w:tabs>
              <w:ind w:hanging="255"/>
              <w:jc w:val="both"/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ab/>
              <w:t>Благодаря помощнику (максимум за 5 шагов) должен выгружаться необходимый комплект го</w:t>
            </w:r>
            <w:r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  <w:t>товых отчетов, а именно:</w:t>
            </w:r>
          </w:p>
          <w:p w:rsidR="00031B6E" w:rsidRDefault="003F22B2">
            <w:pPr>
              <w:pStyle w:val="ac"/>
              <w:numPr>
                <w:ilvl w:val="0"/>
                <w:numId w:val="15"/>
              </w:numPr>
              <w:tabs>
                <w:tab w:val="left" w:pos="690"/>
              </w:tabs>
              <w:ind w:left="714" w:hanging="357"/>
              <w:jc w:val="both"/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выбор отчетов, которые входят в состав комплекта отчетности;</w:t>
            </w:r>
          </w:p>
          <w:p w:rsidR="00031B6E" w:rsidRDefault="003F22B2">
            <w:pPr>
              <w:pStyle w:val="ac"/>
              <w:numPr>
                <w:ilvl w:val="0"/>
                <w:numId w:val="15"/>
              </w:numPr>
              <w:tabs>
                <w:tab w:val="left" w:pos="690"/>
              </w:tabs>
              <w:ind w:left="714" w:hanging="357"/>
              <w:jc w:val="both"/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готовности данных в базе к формированию отчетов с выводом ошибок;</w:t>
            </w:r>
          </w:p>
          <w:p w:rsidR="00031B6E" w:rsidRDefault="003F22B2">
            <w:pPr>
              <w:pStyle w:val="ac"/>
              <w:numPr>
                <w:ilvl w:val="0"/>
                <w:numId w:val="15"/>
              </w:numPr>
              <w:tabs>
                <w:tab w:val="left" w:pos="690"/>
              </w:tabs>
              <w:ind w:left="714" w:hanging="357"/>
              <w:jc w:val="both"/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 отчетов согласно заданному комплекту отчетности;</w:t>
            </w:r>
          </w:p>
          <w:p w:rsidR="00031B6E" w:rsidRDefault="003F22B2">
            <w:pPr>
              <w:pStyle w:val="ac"/>
              <w:numPr>
                <w:ilvl w:val="0"/>
                <w:numId w:val="15"/>
              </w:numPr>
              <w:tabs>
                <w:tab w:val="left" w:pos="690"/>
              </w:tabs>
              <w:ind w:left="714" w:hanging="357"/>
              <w:jc w:val="both"/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контрольных соотношений;</w:t>
            </w:r>
          </w:p>
          <w:p w:rsidR="00031B6E" w:rsidRDefault="003F22B2">
            <w:pPr>
              <w:pStyle w:val="ac"/>
              <w:numPr>
                <w:ilvl w:val="0"/>
                <w:numId w:val="15"/>
              </w:numPr>
              <w:tabs>
                <w:tab w:val="left" w:pos="690"/>
              </w:tabs>
              <w:ind w:left="714" w:hanging="357"/>
              <w:jc w:val="both"/>
              <w:rPr>
                <w:rFonts w:ascii="Times New Roman" w:eastAsia="Tahoma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печать и выгрузка отчетов.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410" w:type="dxa"/>
          </w:tcPr>
          <w:p w:rsidR="00031B6E" w:rsidRDefault="003F22B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Учет бланков строгой отчетности</w:t>
            </w:r>
          </w:p>
        </w:tc>
        <w:tc>
          <w:tcPr>
            <w:tcW w:w="6374" w:type="dxa"/>
          </w:tcPr>
          <w:p w:rsidR="00031B6E" w:rsidRDefault="003F22B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его состав должны входить:</w:t>
            </w:r>
          </w:p>
          <w:p w:rsidR="00031B6E" w:rsidRDefault="003F22B2">
            <w:pPr>
              <w:pStyle w:val="ac"/>
              <w:numPr>
                <w:ilvl w:val="0"/>
                <w:numId w:val="16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по учету бланков строгой отчетности, а именно </w:t>
            </w:r>
            <w:r>
              <w:rPr>
                <w:rFonts w:ascii="Times New Roman" w:hAnsi="Times New Roman"/>
                <w:sz w:val="22"/>
                <w:szCs w:val="22"/>
              </w:rPr>
              <w:t>поступление, внутреннее перемещение, списание и инвентаризация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должны оформляться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shd w:val="clear" w:color="auto" w:fill="FFFFFF"/>
              </w:rPr>
              <w:t>документами, которые имеют печатные формы «Акт приема БСО», «Акт списания БСО» и при проведении документов должны формироваться соответствующие проводки по бухгалтерскому учету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031B6E" w:rsidRDefault="003F22B2">
            <w:pPr>
              <w:pStyle w:val="ac"/>
              <w:numPr>
                <w:ilvl w:val="0"/>
                <w:numId w:val="16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ahoma" w:hAnsi="Times New Roman"/>
                <w:sz w:val="22"/>
                <w:szCs w:val="22"/>
              </w:rPr>
              <w:t xml:space="preserve">возможность вести учет бланков строгой отчетности, </w:t>
            </w:r>
            <w:r>
              <w:rPr>
                <w:rFonts w:ascii="Times New Roman" w:hAnsi="Times New Roman"/>
                <w:sz w:val="22"/>
                <w:szCs w:val="22"/>
              </w:rPr>
              <w:t>либо по условной оценке – о</w:t>
            </w:r>
            <w:r>
              <w:rPr>
                <w:rFonts w:ascii="Times New Roman" w:hAnsi="Times New Roman"/>
                <w:sz w:val="22"/>
                <w:szCs w:val="22"/>
              </w:rPr>
              <w:t>дин бланк, один рубль, либо, в случаях установленной учреждением в рамках формирования учетной политики, по стоимости приобретения бланков.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410" w:type="dxa"/>
          </w:tcPr>
          <w:p w:rsidR="00031B6E" w:rsidRDefault="003F22B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Учет расчета и начисления заработной платы сотрудникам и осужденным, а также ведение кадрового учета и получения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регламентированной отчетности в налоговые органы и Пенсионный фонд.</w:t>
            </w:r>
          </w:p>
        </w:tc>
        <w:tc>
          <w:tcPr>
            <w:tcW w:w="6374" w:type="dxa"/>
          </w:tcPr>
          <w:p w:rsidR="00031B6E" w:rsidRDefault="003F22B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его состав должны входить возможности:</w:t>
            </w:r>
          </w:p>
          <w:p w:rsidR="00031B6E" w:rsidRDefault="003F22B2">
            <w:pPr>
              <w:pStyle w:val="ac"/>
              <w:numPr>
                <w:ilvl w:val="0"/>
                <w:numId w:val="17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вести многофирменный учет: расчет и учет зарплаты сотрудников, работающих в нескольких учреждениях;</w:t>
            </w:r>
          </w:p>
          <w:p w:rsidR="00031B6E" w:rsidRDefault="003F22B2">
            <w:pPr>
              <w:pStyle w:val="ac"/>
              <w:numPr>
                <w:ilvl w:val="0"/>
                <w:numId w:val="17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вести кадровый учет: оформление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документов приема, перемещения и увольнения сотрудников в соответствии со штатным расписанием учреждения, составление графика отпусков, приказов о поощрении, взыскании;</w:t>
            </w:r>
          </w:p>
          <w:p w:rsidR="00031B6E" w:rsidRDefault="003F22B2">
            <w:pPr>
              <w:pStyle w:val="ac"/>
              <w:numPr>
                <w:ilvl w:val="0"/>
                <w:numId w:val="17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вести кадровый учет государственных служащих по группам и категориям;</w:t>
            </w:r>
          </w:p>
          <w:p w:rsidR="00031B6E" w:rsidRDefault="003F22B2">
            <w:pPr>
              <w:pStyle w:val="ac"/>
              <w:numPr>
                <w:ilvl w:val="0"/>
                <w:numId w:val="17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рассчитывать любо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й вид трудового стажа каждого сотрудника, в том числе стаж государственной (муниципальной) службы;</w:t>
            </w:r>
          </w:p>
          <w:p w:rsidR="00031B6E" w:rsidRDefault="003F22B2">
            <w:pPr>
              <w:pStyle w:val="ac"/>
              <w:numPr>
                <w:ilvl w:val="0"/>
                <w:numId w:val="17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начислять государственным служащим оклад в соответствии с присвоенным классным чином, а также все необходимые ежемесячные и иные дополнительные выплаты;</w:t>
            </w:r>
          </w:p>
          <w:p w:rsidR="00031B6E" w:rsidRDefault="003F22B2">
            <w:pPr>
              <w:pStyle w:val="ac"/>
              <w:numPr>
                <w:ilvl w:val="0"/>
                <w:numId w:val="17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расс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читывать зарплату с учетом новых систем оплаты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труда работников федеральных бюджетных учреждений;</w:t>
            </w:r>
          </w:p>
          <w:p w:rsidR="00031B6E" w:rsidRDefault="003F22B2">
            <w:pPr>
              <w:pStyle w:val="ac"/>
              <w:numPr>
                <w:ilvl w:val="0"/>
                <w:numId w:val="17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вести табель учета рабочего времени в часах и минутах, в табеле можно учитывать сверхурочное, вечернее, ночное время работы;</w:t>
            </w:r>
          </w:p>
          <w:p w:rsidR="00031B6E" w:rsidRDefault="003F22B2">
            <w:pPr>
              <w:pStyle w:val="ac"/>
              <w:numPr>
                <w:ilvl w:val="0"/>
                <w:numId w:val="17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формировать все необходимые бюдже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тные формы документов (0504403, 0504401, 0504417, 0504425, 0504421);</w:t>
            </w:r>
          </w:p>
          <w:p w:rsidR="00031B6E" w:rsidRDefault="003F22B2">
            <w:pPr>
              <w:pStyle w:val="ac"/>
              <w:numPr>
                <w:ilvl w:val="0"/>
                <w:numId w:val="17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рассчитывать и начислять зарплату по каждому сотруднику с учетом КБК, источников финансирования, статей затрат;</w:t>
            </w:r>
          </w:p>
          <w:p w:rsidR="00031B6E" w:rsidRDefault="003F22B2">
            <w:pPr>
              <w:pStyle w:val="ac"/>
              <w:numPr>
                <w:ilvl w:val="0"/>
                <w:numId w:val="17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проводить расчет всех видов налогов, отчислений во внебюджетные фонды и сбо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ров, предусмотренных законодательством, как по каждому сотруднику, так и в целом по учреждению;</w:t>
            </w:r>
          </w:p>
          <w:p w:rsidR="00031B6E" w:rsidRDefault="003F22B2">
            <w:pPr>
              <w:pStyle w:val="ac"/>
              <w:numPr>
                <w:ilvl w:val="0"/>
                <w:numId w:val="17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контролировать изменения начислений в предыдущих периодах, с возможностью автоматического перерасчета налогов;</w:t>
            </w:r>
          </w:p>
          <w:p w:rsidR="00031B6E" w:rsidRDefault="003F22B2">
            <w:pPr>
              <w:pStyle w:val="ac"/>
              <w:numPr>
                <w:ilvl w:val="0"/>
                <w:numId w:val="17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производить перерасчет ранее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сформированных документов - табеля, больничного, отпуска;</w:t>
            </w:r>
          </w:p>
          <w:p w:rsidR="00031B6E" w:rsidRDefault="003F22B2">
            <w:pPr>
              <w:pStyle w:val="ac"/>
              <w:numPr>
                <w:ilvl w:val="0"/>
                <w:numId w:val="17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формировать различные виды выходных документов: расчетные листки, своды, ведомости, карточки, справки о доходах, налоговые карточки, отчеты в налоговые органы и в пенсионный фонд как в бумажном, так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и в электронном виде;</w:t>
            </w:r>
          </w:p>
          <w:p w:rsidR="00031B6E" w:rsidRDefault="003F22B2">
            <w:pPr>
              <w:pStyle w:val="ac"/>
              <w:numPr>
                <w:ilvl w:val="0"/>
                <w:numId w:val="17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формировать проводки по бухгалтерскому учету на основании документов по расчету заработной платы, которые должны отражаться в 6 журнале, в главной книге и в балансе;</w:t>
            </w:r>
          </w:p>
          <w:p w:rsidR="00031B6E" w:rsidRDefault="003F22B2">
            <w:pPr>
              <w:pStyle w:val="ac"/>
              <w:numPr>
                <w:ilvl w:val="0"/>
                <w:numId w:val="17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формировать денежный аттестат при увольнении сотрудников;</w:t>
            </w:r>
          </w:p>
          <w:p w:rsidR="00031B6E" w:rsidRDefault="003F22B2">
            <w:pPr>
              <w:pStyle w:val="ac"/>
              <w:numPr>
                <w:ilvl w:val="0"/>
                <w:numId w:val="17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производи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ть выгрузку данных в ЕГИСЗ;</w:t>
            </w:r>
          </w:p>
          <w:p w:rsidR="00031B6E" w:rsidRDefault="003F22B2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формировать своды, ведомости, карточки, справки, расчетные листки;</w:t>
            </w:r>
          </w:p>
          <w:p w:rsidR="00031B6E" w:rsidRDefault="003F22B2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формировать справки о доходах физического лица по форме № 2-НДФЛ; 6-НДФЛ</w:t>
            </w:r>
          </w:p>
          <w:p w:rsidR="00031B6E" w:rsidRDefault="003F22B2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получать отчеты о сведениях в Пенсионный фонд РФ по формам: АДВ-1,2,3, АДВ-6-2, СЗВ-6-1,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2, ДСВ-1,3);</w:t>
            </w:r>
          </w:p>
          <w:p w:rsidR="00031B6E" w:rsidRDefault="003F22B2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формировать отчет-расчет по начисленным и уплаченным страховым взносам РСВ-1 ПФР;</w:t>
            </w:r>
          </w:p>
          <w:p w:rsidR="00031B6E" w:rsidRDefault="003F22B2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Autospacing="1"/>
              <w:rPr>
                <w:rFonts w:ascii="Times New Roman" w:eastAsia="Times New Roman" w:hAnsi="Times New Roman"/>
                <w:color w:val="333333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выводить расчетную ведомость по средствам социального страхования РФ (4-ФСС).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2410" w:type="dxa"/>
          </w:tcPr>
          <w:p w:rsidR="00031B6E" w:rsidRDefault="003F22B2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color w:val="003399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Учет санкционирования расходов</w:t>
            </w:r>
          </w:p>
        </w:tc>
        <w:tc>
          <w:tcPr>
            <w:tcW w:w="6374" w:type="dxa"/>
          </w:tcPr>
          <w:p w:rsidR="00031B6E" w:rsidRDefault="003F22B2">
            <w:pPr>
              <w:shd w:val="clear" w:color="auto" w:fill="FFFFFF"/>
              <w:suppressAutoHyphens w:val="0"/>
              <w:spacing w:beforeAutospacing="1" w:after="4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Автоматизация должна обеспечивать:</w:t>
            </w:r>
          </w:p>
          <w:p w:rsidR="00031B6E" w:rsidRDefault="003F22B2">
            <w:pPr>
              <w:pStyle w:val="ac"/>
              <w:numPr>
                <w:ilvl w:val="0"/>
                <w:numId w:val="18"/>
              </w:numPr>
              <w:shd w:val="clear" w:color="auto" w:fill="FFFFFF"/>
              <w:suppressAutoHyphens w:val="0"/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регистрацию и учет полученных лимитов бюджетных обязательств, ассигнований, предельных объемов финансирования, далее – бюджетных данных,</w:t>
            </w:r>
          </w:p>
          <w:p w:rsidR="00031B6E" w:rsidRDefault="003F22B2">
            <w:pPr>
              <w:pStyle w:val="ac"/>
              <w:numPr>
                <w:ilvl w:val="0"/>
                <w:numId w:val="18"/>
              </w:numPr>
              <w:shd w:val="clear" w:color="auto" w:fill="FFFFFF"/>
              <w:suppressAutoHyphens w:val="0"/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Расходных расписаний ф. 0531722 (Приложение № 2 к Приказу Минфина РФ от 30.09.2008 № 104н) бюджетополучате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лем для представления в Федеральное казначейство,</w:t>
            </w:r>
          </w:p>
          <w:p w:rsidR="00031B6E" w:rsidRDefault="003F22B2">
            <w:pPr>
              <w:pStyle w:val="ac"/>
              <w:numPr>
                <w:ilvl w:val="0"/>
                <w:numId w:val="18"/>
              </w:numPr>
              <w:shd w:val="clear" w:color="auto" w:fill="FFFFFF"/>
              <w:suppressAutoHyphens w:val="0"/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отражение в учете сумм бюджетных данных, доведенных до распорядителя бюджетных средств (ГРБС), подлежащих дальнейшему распределению по подведомственным учреждениям,</w:t>
            </w:r>
          </w:p>
          <w:p w:rsidR="00031B6E" w:rsidRDefault="003F22B2">
            <w:pPr>
              <w:pStyle w:val="ac"/>
              <w:numPr>
                <w:ilvl w:val="0"/>
                <w:numId w:val="18"/>
              </w:numPr>
              <w:shd w:val="clear" w:color="auto" w:fill="FFFFFF"/>
              <w:suppressAutoHyphens w:val="0"/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Расходных расписаний ф. 0531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722 для пе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редачи в органы казначейства и формирования бухгалтерских записей по распределению бюджетных данных подведомственным получателям бюджетных средств, в том числе себе как получателю,</w:t>
            </w:r>
          </w:p>
          <w:p w:rsidR="00031B6E" w:rsidRDefault="003F22B2">
            <w:pPr>
              <w:pStyle w:val="ac"/>
              <w:numPr>
                <w:ilvl w:val="0"/>
                <w:numId w:val="18"/>
              </w:numPr>
              <w:shd w:val="clear" w:color="auto" w:fill="FFFFFF"/>
              <w:suppressAutoHyphens w:val="0"/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регистрацию и учет сметных (плановых) назначений,</w:t>
            </w:r>
          </w:p>
          <w:p w:rsidR="00031B6E" w:rsidRDefault="003F22B2">
            <w:pPr>
              <w:pStyle w:val="ac"/>
              <w:numPr>
                <w:ilvl w:val="0"/>
                <w:numId w:val="18"/>
              </w:numPr>
              <w:shd w:val="clear" w:color="auto" w:fill="FFFFFF"/>
              <w:suppressAutoHyphens w:val="0"/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от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чета "План финансово-хозяйственной деятельности" по форме, приведенной в Приложении к Порядку составления и утверждения плана финансово-хозяйственной деятельности государственных бюджетных учреждений, находящихся в ведении Министерства финансов Российской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Федерации (утв. Приказом Минфина РФ от 30.08.2010 № 422),</w:t>
            </w:r>
          </w:p>
          <w:p w:rsidR="00031B6E" w:rsidRDefault="003F22B2">
            <w:pPr>
              <w:pStyle w:val="ac"/>
              <w:numPr>
                <w:ilvl w:val="0"/>
                <w:numId w:val="18"/>
              </w:numPr>
              <w:shd w:val="clear" w:color="auto" w:fill="FFFFFF"/>
              <w:suppressAutoHyphens w:val="0"/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и экспорт Сведений об операциях с целевыми субсидиями, предоставленными государственному (муниципальному) учреждению (ф. 0501016) в соответствии с Требованиями к плану финансово-хозяйст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венной деятельности государственного (муниципального) учреждения, утвержденными Приказом Минфина России от 28.07.2010 № 81н,</w:t>
            </w:r>
          </w:p>
          <w:p w:rsidR="00031B6E" w:rsidRDefault="003F22B2">
            <w:pPr>
              <w:pStyle w:val="ac"/>
              <w:numPr>
                <w:ilvl w:val="0"/>
                <w:numId w:val="18"/>
              </w:numPr>
              <w:shd w:val="clear" w:color="auto" w:fill="FFFFFF"/>
              <w:suppressAutoHyphens w:val="0"/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Регистрацию и учет принятых обязательств, в том числе автоматический ввод денежных обязательств в соответствии с заданными настройк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ами автоматического ввода денежных обязательств из документов приобретения НФА и услуг,</w:t>
            </w:r>
          </w:p>
          <w:p w:rsidR="00031B6E" w:rsidRDefault="003F22B2">
            <w:pPr>
              <w:pStyle w:val="ac"/>
              <w:numPr>
                <w:ilvl w:val="0"/>
                <w:numId w:val="18"/>
              </w:numPr>
              <w:shd w:val="clear" w:color="auto" w:fill="FFFFFF"/>
              <w:suppressAutoHyphens w:val="0"/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Контроль принятия обязательств в пределах лимитов бюджетных обязательств, сметных (плановых) назначений, доведенных (утвержденных) по кодам классификации расходов соотв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етствующего бюджета (ведомственной классификации), и с учетом принятых и неисполненных обязательств,</w:t>
            </w:r>
          </w:p>
          <w:p w:rsidR="00031B6E" w:rsidRDefault="003F22B2">
            <w:pPr>
              <w:pStyle w:val="ac"/>
              <w:numPr>
                <w:ilvl w:val="0"/>
                <w:numId w:val="18"/>
              </w:numPr>
              <w:shd w:val="clear" w:color="auto" w:fill="FFFFFF"/>
              <w:suppressAutoHyphens w:val="0"/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контроль непревышения кассовых расходов над доведенными лимитами бюджетных обязательств (ассигнованиями) и при необходимости предельными объемами финансиро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вания расходов,</w:t>
            </w:r>
          </w:p>
          <w:p w:rsidR="00031B6E" w:rsidRDefault="003F22B2">
            <w:pPr>
              <w:pStyle w:val="ac"/>
              <w:numPr>
                <w:ilvl w:val="0"/>
                <w:numId w:val="18"/>
              </w:numPr>
              <w:shd w:val="clear" w:color="auto" w:fill="FFFFFF"/>
              <w:suppressAutoHyphens w:val="0"/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контроль непревышения кассовых выплат по источникам финансирования дефицита бюджета над доведенными бюджетными ассигнованиями,</w:t>
            </w:r>
          </w:p>
          <w:p w:rsidR="00031B6E" w:rsidRDefault="003F22B2">
            <w:pPr>
              <w:pStyle w:val="ac"/>
              <w:numPr>
                <w:ilvl w:val="0"/>
                <w:numId w:val="18"/>
              </w:numPr>
              <w:shd w:val="clear" w:color="auto" w:fill="FFFFFF"/>
              <w:suppressAutoHyphens w:val="0"/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контроль непревышения кассовых расходов над утвержденными сметными (плановыми) назначениями,</w:t>
            </w:r>
          </w:p>
          <w:p w:rsidR="00031B6E" w:rsidRDefault="003F22B2">
            <w:pPr>
              <w:pStyle w:val="ac"/>
              <w:numPr>
                <w:ilvl w:val="0"/>
                <w:numId w:val="18"/>
              </w:numPr>
              <w:shd w:val="clear" w:color="auto" w:fill="FFFFFF"/>
              <w:suppressAutoHyphens w:val="0"/>
              <w:spacing w:after="45"/>
              <w:ind w:left="714" w:hanging="357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перенос показателей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соответствующим аналитическим счетам санкционирования расходов, сформированных в отчетном финансовом году за первый, второй годы, следующие за текущим (очередным) финансовым годом (далее – показатели по санкционированию) на аналитические счета санкциони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рования расходов бюджета следующего года.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2410" w:type="dxa"/>
          </w:tcPr>
          <w:p w:rsidR="00031B6E" w:rsidRDefault="003F22B2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Учет операций доведения бюджетных данных и кассового исполнения</w:t>
            </w:r>
          </w:p>
        </w:tc>
        <w:tc>
          <w:tcPr>
            <w:tcW w:w="6374" w:type="dxa"/>
          </w:tcPr>
          <w:p w:rsidR="00031B6E" w:rsidRDefault="003F22B2">
            <w:p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В программном продукте должны быть предусмотрены оформление, печать, выгрузка в электронном виде в актуальных форматах Федерального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казначейства, следующих документов:</w:t>
            </w:r>
          </w:p>
          <w:p w:rsidR="00031B6E" w:rsidRDefault="003F22B2">
            <w:pPr>
              <w:pStyle w:val="ac"/>
              <w:numPr>
                <w:ilvl w:val="0"/>
                <w:numId w:val="19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Заявка на кассовый расход (ф. 0531801);</w:t>
            </w:r>
          </w:p>
          <w:p w:rsidR="00031B6E" w:rsidRDefault="003F22B2">
            <w:pPr>
              <w:pStyle w:val="ac"/>
              <w:numPr>
                <w:ilvl w:val="0"/>
                <w:numId w:val="19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Заявка на кассовый расход (сокращенная) (ф. 0531851);</w:t>
            </w:r>
          </w:p>
          <w:p w:rsidR="00031B6E" w:rsidRDefault="003F22B2">
            <w:pPr>
              <w:pStyle w:val="ac"/>
              <w:numPr>
                <w:ilvl w:val="0"/>
                <w:numId w:val="19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Сводная заявка на кассовый расход (ф. 0531860);</w:t>
            </w:r>
          </w:p>
          <w:p w:rsidR="00031B6E" w:rsidRDefault="003F22B2">
            <w:pPr>
              <w:pStyle w:val="ac"/>
              <w:numPr>
                <w:ilvl w:val="0"/>
                <w:numId w:val="19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Заявка на получение наличных денег (ф. 0531802);</w:t>
            </w:r>
          </w:p>
          <w:p w:rsidR="00031B6E" w:rsidRDefault="003F22B2">
            <w:pPr>
              <w:pStyle w:val="ac"/>
              <w:numPr>
                <w:ilvl w:val="0"/>
                <w:numId w:val="19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Заявка на получение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наличных (банковская карта) (ф. 0531844);</w:t>
            </w:r>
          </w:p>
          <w:p w:rsidR="00031B6E" w:rsidRDefault="003F22B2">
            <w:pPr>
              <w:pStyle w:val="ac"/>
              <w:numPr>
                <w:ilvl w:val="0"/>
                <w:numId w:val="19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Заявка на возврат (ф. 0531803);</w:t>
            </w:r>
          </w:p>
          <w:p w:rsidR="00031B6E" w:rsidRDefault="003F22B2">
            <w:pPr>
              <w:pStyle w:val="ac"/>
              <w:numPr>
                <w:ilvl w:val="0"/>
                <w:numId w:val="19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Запрос на аннулирование заявки (ф. 0531807);</w:t>
            </w:r>
          </w:p>
          <w:p w:rsidR="00031B6E" w:rsidRDefault="003F22B2">
            <w:pPr>
              <w:pStyle w:val="ac"/>
              <w:numPr>
                <w:ilvl w:val="0"/>
                <w:numId w:val="19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Уведомление об уточнении вида и принадлежности платежа (ф. 0531809);</w:t>
            </w:r>
          </w:p>
          <w:p w:rsidR="00031B6E" w:rsidRDefault="003F22B2">
            <w:pPr>
              <w:pStyle w:val="ac"/>
              <w:numPr>
                <w:ilvl w:val="0"/>
                <w:numId w:val="19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Платежное поручение (ф. 0401060);</w:t>
            </w:r>
          </w:p>
          <w:p w:rsidR="00031B6E" w:rsidRDefault="003F22B2">
            <w:pPr>
              <w:pStyle w:val="ac"/>
              <w:numPr>
                <w:ilvl w:val="0"/>
                <w:numId w:val="19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Заявление на открытие лицевого сче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та (ф. 0510021);</w:t>
            </w:r>
          </w:p>
          <w:p w:rsidR="00031B6E" w:rsidRDefault="003F22B2">
            <w:pPr>
              <w:pStyle w:val="ac"/>
              <w:numPr>
                <w:ilvl w:val="0"/>
                <w:numId w:val="19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Заявления на переоформление лицевого счета (ф. 0510025);</w:t>
            </w:r>
          </w:p>
          <w:p w:rsidR="00031B6E" w:rsidRDefault="003F22B2">
            <w:pPr>
              <w:pStyle w:val="ac"/>
              <w:numPr>
                <w:ilvl w:val="0"/>
                <w:numId w:val="19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Заявления на закрытие лицевого счета (ф. 0510026);</w:t>
            </w:r>
          </w:p>
          <w:p w:rsidR="00031B6E" w:rsidRDefault="003F22B2">
            <w:pPr>
              <w:pStyle w:val="ac"/>
              <w:numPr>
                <w:ilvl w:val="0"/>
                <w:numId w:val="19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Заявление на получение денежных чековых книжек (ф. 0531242) и др.</w:t>
            </w:r>
          </w:p>
          <w:p w:rsidR="00031B6E" w:rsidRDefault="003F22B2">
            <w:p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Должно быть предусмотрено проведение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расчетно-платежных документов и формирование бухгалтерских записей, которые отражаются в Журнале операций с безналичными денежными средствами № 2 (ф. 0504071).</w:t>
            </w:r>
          </w:p>
          <w:p w:rsidR="00031B6E" w:rsidRDefault="003F22B2">
            <w:p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Также необходима загрузка в электронном виде в форматах Федерального казначейства, формирование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 печать следующих документов:</w:t>
            </w:r>
          </w:p>
          <w:p w:rsidR="00031B6E" w:rsidRDefault="003F22B2">
            <w:pPr>
              <w:pStyle w:val="ac"/>
              <w:numPr>
                <w:ilvl w:val="0"/>
                <w:numId w:val="20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Протокол органа казначейства (ф. 0531805);</w:t>
            </w:r>
          </w:p>
          <w:p w:rsidR="00031B6E" w:rsidRDefault="003F22B2">
            <w:pPr>
              <w:pStyle w:val="ac"/>
              <w:numPr>
                <w:ilvl w:val="0"/>
                <w:numId w:val="20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Расходное расписание (ф. 0531722);</w:t>
            </w:r>
          </w:p>
          <w:p w:rsidR="00031B6E" w:rsidRDefault="003F22B2">
            <w:pPr>
              <w:pStyle w:val="ac"/>
              <w:numPr>
                <w:ilvl w:val="0"/>
                <w:numId w:val="20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Запрос на выяснение принадлежности платежа (ф. 0531808);</w:t>
            </w:r>
          </w:p>
          <w:p w:rsidR="00031B6E" w:rsidRDefault="003F22B2">
            <w:pPr>
              <w:pStyle w:val="ac"/>
              <w:numPr>
                <w:ilvl w:val="0"/>
                <w:numId w:val="20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Выписка из лицевого счета (различных видов). При загрузке Выписок формируются документы дл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я отражения кассового поступления, кассового выбытия и проводятся соответствующие расчетно-платежные документы для отражения кассовой выплаты. В документы, отражающие кассовые выплаты (поступления), загружаются данные документов-оснований отражения операци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й на л/с учреждения (платежные поручения и др. документы, сформированные органом ФК или плательщиком).</w:t>
            </w:r>
          </w:p>
          <w:p w:rsidR="00031B6E" w:rsidRDefault="003F22B2">
            <w:pPr>
              <w:pStyle w:val="ac"/>
              <w:numPr>
                <w:ilvl w:val="0"/>
                <w:numId w:val="20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Отчет о состоянии лицевого счета (различных видов).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18</w:t>
            </w:r>
          </w:p>
        </w:tc>
        <w:tc>
          <w:tcPr>
            <w:tcW w:w="2410" w:type="dxa"/>
          </w:tcPr>
          <w:p w:rsidR="00031B6E" w:rsidRDefault="003F22B2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Учет наличных денежных средств и денежных документов</w:t>
            </w:r>
          </w:p>
          <w:p w:rsidR="00031B6E" w:rsidRDefault="00031B6E">
            <w:pPr>
              <w:snapToGrid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374" w:type="dxa"/>
          </w:tcPr>
          <w:p w:rsidR="00031B6E" w:rsidRDefault="003F22B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Требования к составу </w:t>
            </w:r>
            <w:r>
              <w:rPr>
                <w:rFonts w:ascii="Times New Roman" w:hAnsi="Times New Roman"/>
                <w:sz w:val="22"/>
                <w:szCs w:val="22"/>
              </w:rPr>
              <w:t>автоматизированных функций участка:</w:t>
            </w:r>
          </w:p>
          <w:p w:rsidR="00031B6E" w:rsidRDefault="003F22B2">
            <w:pPr>
              <w:pStyle w:val="ac"/>
              <w:numPr>
                <w:ilvl w:val="0"/>
                <w:numId w:val="21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приходные и расходные кассовые ордера (ф. № КО-1 и № КО-2), объявления на взнос наличными (ф. 0402001) оформляются по типовым унифицированным формам. Кассовые ордера можно оформлять как в рублях, так и в любой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иностранной валюте. При проведении документов формируются бухгалтерские записи, которые отражаются в Журнале операций по счету "Касса" № 1 (ф. 0504071),</w:t>
            </w:r>
          </w:p>
          <w:p w:rsidR="00031B6E" w:rsidRDefault="003F22B2">
            <w:pPr>
              <w:pStyle w:val="ac"/>
              <w:numPr>
                <w:ilvl w:val="0"/>
                <w:numId w:val="21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кассовые ордера также можно оформлять по денежным документам. При формировании кассовых ордеров по дене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жным документам на них делается надпечатка "Фондовый". Движения денежных документов регистрируются на счетах бухгалтерского учета,</w:t>
            </w:r>
          </w:p>
          <w:p w:rsidR="00031B6E" w:rsidRDefault="003F22B2">
            <w:pPr>
              <w:pStyle w:val="ac"/>
              <w:numPr>
                <w:ilvl w:val="0"/>
                <w:numId w:val="21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ведение Журнала регистрации приходных и расходных ордеров" (ф. № КО-3) и Кассовой книги по форме № 0504514.</w:t>
            </w:r>
          </w:p>
          <w:p w:rsidR="00031B6E" w:rsidRDefault="003F22B2">
            <w:pPr>
              <w:pStyle w:val="ac"/>
              <w:numPr>
                <w:ilvl w:val="0"/>
                <w:numId w:val="21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касс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овой книги должно быть реализовано по наличным денежным средствам и денежным документам. При этом необходимо предусмотреть два способа ведения кассовой книги:</w:t>
            </w:r>
          </w:p>
          <w:p w:rsidR="00031B6E" w:rsidRDefault="003F22B2">
            <w:pPr>
              <w:pStyle w:val="ac"/>
              <w:numPr>
                <w:ilvl w:val="0"/>
                <w:numId w:val="22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единой кассовой книги (ф. 0504514) по наличным денежным средствам и денежным докумен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там с единой последовательной нумерацией обычных листов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кассовой книги и листов с отметкой (штампом) "Фондовый";</w:t>
            </w:r>
          </w:p>
          <w:p w:rsidR="00031B6E" w:rsidRDefault="003F22B2">
            <w:pPr>
              <w:pStyle w:val="ac"/>
              <w:numPr>
                <w:ilvl w:val="0"/>
                <w:numId w:val="22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отдельной кассовой книги по форме 0504510 "Кассовая книга Фондовая" по операциям с денежными документами.</w:t>
            </w:r>
          </w:p>
          <w:p w:rsidR="00031B6E" w:rsidRDefault="003F22B2">
            <w:pPr>
              <w:pStyle w:val="ac"/>
              <w:numPr>
                <w:ilvl w:val="0"/>
                <w:numId w:val="23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должны быть учтены особе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нности наличного обращения при расчетах через органы Федерального казначейства, в том числе особенности осуществления операций по обеспечению наличными деньгами получателей средств бюджетов, неучастников бюджетного процесса и уполномоченных подразделений 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использованием карт,</w:t>
            </w:r>
          </w:p>
          <w:p w:rsidR="00031B6E" w:rsidRDefault="003F22B2">
            <w:pPr>
              <w:pStyle w:val="ac"/>
              <w:numPr>
                <w:ilvl w:val="0"/>
                <w:numId w:val="23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предусмотрено оформление Заявления на получение денежных чековых книжек в органах Федерального казначейства (ф. 0531242), Заявки на получение наличных денежных средств, перечисляемых на карту (ф. 0531243) (Приложения № 2, 3 к Правилам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обеспечения наличными денежными средствами организаций, лицевые счета которым открыты в территориальных органах Федерального казначейства, финансовых органах субъектов Российской Федерации (муниципальных образований), утвержденных Приказом Казначейства Ро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ссии от 30.06.2014 № 10н, и отражение на счетах учета операций при использовании счета № 40116 "Средства для выплаты наличных денег организациям",</w:t>
            </w:r>
          </w:p>
          <w:p w:rsidR="00031B6E" w:rsidRDefault="003F22B2">
            <w:pPr>
              <w:pStyle w:val="ac"/>
              <w:numPr>
                <w:ilvl w:val="0"/>
                <w:numId w:val="23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предусмотрено получение информации по движению наличных денежных средств за любой период в разрезе учреждений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источников и видов финансового обеспечения деятельности учреждения, классификационных признаков счетов, кодов экономической классификации,</w:t>
            </w:r>
          </w:p>
          <w:p w:rsidR="00031B6E" w:rsidRDefault="003F22B2">
            <w:pPr>
              <w:pStyle w:val="ac"/>
              <w:numPr>
                <w:ilvl w:val="0"/>
                <w:numId w:val="23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предусмотрено формирование Инвентаризационных описей (сличительных ведомостей) ф. 0504086 и Акта инвентаризации нал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ичных денежных средств по форме № ИНВ-15 и документирование результатов инвентаризации наличных денежных средств и денежных документов. На основании документов, в которых зафиксировано расхождение фактических данных с учетными, можно ввести приходные докум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енты – для оприходования излишков и расходные документы – для регистрации недостач,</w:t>
            </w:r>
          </w:p>
          <w:p w:rsidR="00031B6E" w:rsidRDefault="003F22B2">
            <w:pPr>
              <w:pStyle w:val="ac"/>
              <w:numPr>
                <w:ilvl w:val="0"/>
                <w:numId w:val="23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поддержка использования контрольно-кассовой техники при выполнении кассовых операций.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19</w:t>
            </w:r>
          </w:p>
        </w:tc>
        <w:tc>
          <w:tcPr>
            <w:tcW w:w="2410" w:type="dxa"/>
          </w:tcPr>
          <w:p w:rsidR="00031B6E" w:rsidRDefault="003F22B2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color w:val="003399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Учет нефинансовых активов</w:t>
            </w:r>
          </w:p>
        </w:tc>
        <w:tc>
          <w:tcPr>
            <w:tcW w:w="6374" w:type="dxa"/>
          </w:tcPr>
          <w:p w:rsidR="00031B6E" w:rsidRDefault="003F22B2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его состав должны входить возможности:</w:t>
            </w:r>
          </w:p>
          <w:p w:rsidR="00031B6E" w:rsidRDefault="003F22B2">
            <w:pPr>
              <w:pStyle w:val="ac"/>
              <w:numPr>
                <w:ilvl w:val="0"/>
                <w:numId w:val="24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учета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нефинансовых активов по номенклатуре, инвентарным объектам, материально ответственным лицам и местам хранения,</w:t>
            </w:r>
          </w:p>
          <w:p w:rsidR="00031B6E" w:rsidRDefault="003F22B2">
            <w:pPr>
              <w:pStyle w:val="ac"/>
              <w:numPr>
                <w:ilvl w:val="0"/>
                <w:numId w:val="24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предварительной калькуляции фактической стоимости на счете 010600000 "Вложения в нефинансовые активы", начисление амортизации в зависимости от ст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оимости основного средства, его назначения и срока использования,</w:t>
            </w:r>
          </w:p>
          <w:p w:rsidR="00031B6E" w:rsidRDefault="003F22B2">
            <w:pPr>
              <w:pStyle w:val="ac"/>
              <w:numPr>
                <w:ilvl w:val="0"/>
                <w:numId w:val="24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группового учета инвентарных объектов с формированием инвентарных карточек группового учета основных средств (ф. 0504032), актов о приеме-передаче объектов нефинансовых активов (ф. 0504101),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списании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объектов нефинансовых активов (кроме транспортных средств) (ф. 0504104).</w:t>
            </w:r>
          </w:p>
          <w:p w:rsidR="00031B6E" w:rsidRDefault="003F22B2">
            <w:pPr>
              <w:pStyle w:val="ac"/>
              <w:numPr>
                <w:ilvl w:val="0"/>
                <w:numId w:val="24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хранение информации, необходимой для внесения сведений в реестр федерального имущества (постановление Правительства от 16.07.2007 № 447).</w:t>
            </w:r>
          </w:p>
          <w:p w:rsidR="00031B6E" w:rsidRDefault="003F22B2">
            <w:pPr>
              <w:pStyle w:val="ac"/>
              <w:numPr>
                <w:ilvl w:val="0"/>
                <w:numId w:val="24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учета драгоценных металлов, входящи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х в состав основных средств, материалов, оборудования.</w:t>
            </w:r>
          </w:p>
          <w:p w:rsidR="00031B6E" w:rsidRDefault="003F22B2">
            <w:pPr>
              <w:pStyle w:val="ac"/>
              <w:numPr>
                <w:ilvl w:val="0"/>
                <w:numId w:val="24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списания на расходы основные средства стоимостью до 3 000 руб. включительно (кроме основных средств, не списываемых при вводе в эксплуатацию, например, библиотечного фонда) или начислить 100 % амортиза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цию для основных средств стоимостью от 3 000 руб. до 40 000 руб. включительно.</w:t>
            </w:r>
          </w:p>
          <w:p w:rsidR="00031B6E" w:rsidRDefault="003F22B2">
            <w:pPr>
              <w:pStyle w:val="ac"/>
              <w:numPr>
                <w:ilvl w:val="0"/>
                <w:numId w:val="24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основным средствам и нематериальным активам стоимостью более 40 000 руб. ежемесячно начислять амортизацию, как в бухгалтерском, так и в налоговом учете с помощью регламентных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документов.</w:t>
            </w:r>
          </w:p>
          <w:p w:rsidR="00031B6E" w:rsidRDefault="003F22B2">
            <w:pPr>
              <w:pStyle w:val="ac"/>
              <w:numPr>
                <w:ilvl w:val="0"/>
                <w:numId w:val="24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централизованное снабжение, внутриведомственное перемещение, получение от учредителя, изготовление собственными силами, реконструкция (модернизация), реализация излишних нефинансовых активов.</w:t>
            </w:r>
          </w:p>
          <w:p w:rsidR="00031B6E" w:rsidRDefault="003F22B2">
            <w:pPr>
              <w:pStyle w:val="ac"/>
              <w:numPr>
                <w:ilvl w:val="0"/>
                <w:numId w:val="24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автоматизированного оформления возврата материалов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поставщику и от покупателя, формирование Акт приемки материалов (материальных ценностей) по форме 0504220 для документального оформления претензий поставщикам в случае недостач нефинансовых активов при их приемке,</w:t>
            </w:r>
          </w:p>
          <w:p w:rsidR="00031B6E" w:rsidRDefault="003F22B2">
            <w:pPr>
              <w:pStyle w:val="ac"/>
              <w:numPr>
                <w:ilvl w:val="0"/>
                <w:numId w:val="24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ведения списков постоянно действующих коми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ссий – по инвентаризации, по поступлению и выбытию НФА и т. п. – для отражения в актах на прием, передачу, списание НФА, в инвентаризационных описях и т.п.</w:t>
            </w:r>
          </w:p>
          <w:p w:rsidR="00031B6E" w:rsidRDefault="003F22B2">
            <w:pPr>
              <w:pStyle w:val="ac"/>
              <w:numPr>
                <w:ilvl w:val="0"/>
                <w:numId w:val="24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оформления договоров об индивидуальной и бригадной материальной ответственности,</w:t>
            </w:r>
          </w:p>
          <w:p w:rsidR="00031B6E" w:rsidRDefault="003F22B2">
            <w:pPr>
              <w:pStyle w:val="ac"/>
              <w:numPr>
                <w:ilvl w:val="0"/>
                <w:numId w:val="24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ввода на основании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документов по поступлению НФА вводятся документы вида "Счет-фактура полученный" для регистрации счета-фактуры поставщика с целью формирования Книги покупок.</w:t>
            </w:r>
          </w:p>
          <w:p w:rsidR="00031B6E" w:rsidRDefault="003F22B2">
            <w:pPr>
              <w:pStyle w:val="ac"/>
              <w:numPr>
                <w:ilvl w:val="0"/>
                <w:numId w:val="24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отражения движения нефинансовых активов в Журнале операций по выбытию и перемещению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нефинансовых активов № 7 (ф. 0504071), Оборотной ведомости по нефинансовым активам (ф. 0504035), Карточках количественно-суммового учета материальных ценностей (0504041) и других регистрах учета.</w:t>
            </w:r>
          </w:p>
          <w:p w:rsidR="00031B6E" w:rsidRDefault="003F22B2">
            <w:pPr>
              <w:pStyle w:val="ac"/>
              <w:numPr>
                <w:ilvl w:val="0"/>
                <w:numId w:val="24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формирования инвентаризационных описей (сличительных ведомос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тей) и регистрация результатов инвентаризации с помощью специализированных документов. Это позволяет хранить в программе всю информацию о проведенных инвентаризациях. На основании документов, в которых зафиксировано расхождение фактических данных с учетным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и, можно ввести приходные документы – для оприходования излишков и расходные документы – для регистрации недостач.</w:t>
            </w:r>
          </w:p>
          <w:p w:rsidR="00031B6E" w:rsidRDefault="003F22B2">
            <w:pPr>
              <w:pStyle w:val="ac"/>
              <w:numPr>
                <w:ilvl w:val="0"/>
                <w:numId w:val="24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использовать терминалы сбора данных при проведении и оформлении результатов инвентаризации основных средств.</w:t>
            </w:r>
          </w:p>
          <w:p w:rsidR="00031B6E" w:rsidRDefault="003F22B2">
            <w:pPr>
              <w:pStyle w:val="ac"/>
              <w:numPr>
                <w:ilvl w:val="0"/>
                <w:numId w:val="24"/>
              </w:num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 xml:space="preserve">оформления операции по движению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нефинансовых активов, учитываемых на забалансовых счетах. Оформляется поступление, внутреннее перемещение и списание таких объектов по унифицированным формам, проводится инвентаризация, формируются регистры учета.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2410" w:type="dxa"/>
          </w:tcPr>
          <w:p w:rsidR="00031B6E" w:rsidRDefault="003F22B2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Учет расчетов с поставщиками и подрядч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иками</w:t>
            </w:r>
          </w:p>
        </w:tc>
        <w:tc>
          <w:tcPr>
            <w:tcW w:w="6374" w:type="dxa"/>
          </w:tcPr>
          <w:p w:rsidR="00031B6E" w:rsidRDefault="003F22B2">
            <w:pPr>
              <w:snapToGrid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031B6E" w:rsidRDefault="003F22B2">
            <w:pPr>
              <w:pStyle w:val="ac"/>
              <w:numPr>
                <w:ilvl w:val="0"/>
                <w:numId w:val="25"/>
              </w:numPr>
              <w:snapToGrid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учет расчетов с поставщиками и подрядчиками в разрезе договоров (оснований расчетов).</w:t>
            </w:r>
          </w:p>
          <w:p w:rsidR="00031B6E" w:rsidRDefault="003F22B2">
            <w:pPr>
              <w:pStyle w:val="ac"/>
              <w:numPr>
                <w:ilvl w:val="0"/>
                <w:numId w:val="25"/>
              </w:numPr>
              <w:snapToGrid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особенности учета расчетов с поставщиками и подрядчиками в зависимости от очередности расчетов – предварительная оплата или предварител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ьная поставка товаров, работ, услуг. Должен быть предусмотрен автоматический зачет авансов, регистрация счета-фактуры поставщика и ведение Книги покупок.</w:t>
            </w:r>
          </w:p>
          <w:p w:rsidR="00031B6E" w:rsidRDefault="003F22B2">
            <w:pPr>
              <w:pStyle w:val="ac"/>
              <w:numPr>
                <w:ilvl w:val="0"/>
                <w:numId w:val="25"/>
              </w:numPr>
              <w:snapToGrid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формирование журнала операций расчетов с поставщиками и подрядчиками № 4 (ф. 0504071) и другие отчеты.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Также необходимо формирование актов сверки расчетов с контрагентами и проведение инвентаризации расчетов.</w:t>
            </w:r>
          </w:p>
          <w:p w:rsidR="00031B6E" w:rsidRDefault="003F22B2">
            <w:pPr>
              <w:pStyle w:val="ac"/>
              <w:numPr>
                <w:ilvl w:val="0"/>
                <w:numId w:val="25"/>
              </w:numPr>
              <w:snapToGrid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возможность непосредственно из программы можно проверить ИНН и КПП контрагентов через веб-сервис ФНС, а также автоматически заполнить реквизиты контр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агентов по их ИНН.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410" w:type="dxa"/>
          </w:tcPr>
          <w:p w:rsidR="00031B6E" w:rsidRDefault="003F22B2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Учет расчетов с подотчетными лицами</w:t>
            </w:r>
          </w:p>
          <w:p w:rsidR="00031B6E" w:rsidRDefault="00031B6E">
            <w:pPr>
              <w:snapToGrid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374" w:type="dxa"/>
          </w:tcPr>
          <w:p w:rsidR="00031B6E" w:rsidRDefault="003F22B2">
            <w:pPr>
              <w:shd w:val="clear" w:color="auto" w:fill="FFFFFF"/>
              <w:suppressAutoHyphens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031B6E" w:rsidRDefault="003F22B2">
            <w:pPr>
              <w:pStyle w:val="ac"/>
              <w:numPr>
                <w:ilvl w:val="0"/>
                <w:numId w:val="26"/>
              </w:numPr>
              <w:shd w:val="clear" w:color="auto" w:fill="FFFFFF"/>
              <w:suppressAutoHyphens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аналитический учет расчетов с подотчетными лицами ведется по каждому подотчетному лицу в разрезе выданных им авансов и видов расчетов (расчеты по выданным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денежным средствам, расчеты по полученным денежным документам). При этом один аванс, выданный подотчетному лицу, можно закрыть несколькими авансовыми отчетами,</w:t>
            </w:r>
          </w:p>
          <w:p w:rsidR="00031B6E" w:rsidRDefault="003F22B2">
            <w:pPr>
              <w:pStyle w:val="ac"/>
              <w:numPr>
                <w:ilvl w:val="0"/>
                <w:numId w:val="26"/>
              </w:numPr>
              <w:shd w:val="clear" w:color="auto" w:fill="FFFFFF"/>
              <w:suppressAutoHyphens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расчеты с подотчетными лицами документируются с помощью соответствующих документов. Предусмотрен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 оформление заявления на выдачу подотчетной суммы, отражение в учете представленного в бухгалтерию авансового отчета, оформление Авансового отчета (ф. 0504505) на основании представленных оправдательных документов,</w:t>
            </w:r>
          </w:p>
          <w:p w:rsidR="00031B6E" w:rsidRDefault="003F22B2">
            <w:pPr>
              <w:pStyle w:val="ac"/>
              <w:numPr>
                <w:ilvl w:val="0"/>
                <w:numId w:val="26"/>
              </w:numPr>
              <w:shd w:val="clear" w:color="auto" w:fill="FFFFFF"/>
              <w:suppressAutoHyphens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оформление данных инвентаризации расчето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 с подотчетными лицами, формирование Инвентаризационной описи расчетов с покупателями, поставщиками и прочими дебиторами, и кредиторами (ф. 0504089),</w:t>
            </w:r>
          </w:p>
          <w:p w:rsidR="00031B6E" w:rsidRDefault="003F22B2">
            <w:pPr>
              <w:pStyle w:val="ac"/>
              <w:numPr>
                <w:ilvl w:val="0"/>
                <w:numId w:val="26"/>
              </w:numPr>
              <w:shd w:val="clear" w:color="auto" w:fill="FFFFFF"/>
              <w:suppressAutoHyphens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выписка доверенности на получение товарно-материальных ценностей по унифицированной форме № М-2,</w:t>
            </w:r>
          </w:p>
          <w:p w:rsidR="00031B6E" w:rsidRDefault="003F22B2">
            <w:pPr>
              <w:pStyle w:val="ac"/>
              <w:numPr>
                <w:ilvl w:val="0"/>
                <w:numId w:val="26"/>
              </w:numPr>
              <w:shd w:val="clear" w:color="auto" w:fill="FFFFFF"/>
              <w:suppressAutoHyphens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Регистры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учета по расчетам с подотчетными лицами – Журнал операций расчетов с подотчетными лицами № 3 (ф. 0504071), Карточка учета средств и расчетов (ф. 0504051) и их формирование как выходных форм с помощью одноименных отчетов.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410" w:type="dxa"/>
          </w:tcPr>
          <w:p w:rsidR="00031B6E" w:rsidRDefault="003F22B2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Учет расчетов с покупателями 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заказчиками</w:t>
            </w:r>
          </w:p>
          <w:p w:rsidR="00031B6E" w:rsidRDefault="00031B6E">
            <w:pPr>
              <w:snapToGrid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374" w:type="dxa"/>
          </w:tcPr>
          <w:p w:rsidR="00031B6E" w:rsidRDefault="003F22B2">
            <w:p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 его состав должны входить:</w:t>
            </w:r>
          </w:p>
          <w:p w:rsidR="00031B6E" w:rsidRDefault="003F22B2">
            <w:pPr>
              <w:pStyle w:val="ac"/>
              <w:numPr>
                <w:ilvl w:val="0"/>
                <w:numId w:val="27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операции начисления дебиторской задолженности по оказанным учреждением услугам по основной и предпринимательской деятельности, в том числе по предоставлению в аренду имущества, по расчетам с родите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лями за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содержание детей в детском учреждении, по дополнительному образованию,</w:t>
            </w:r>
          </w:p>
          <w:p w:rsidR="00031B6E" w:rsidRDefault="003F22B2">
            <w:pPr>
              <w:pStyle w:val="ac"/>
              <w:numPr>
                <w:ilvl w:val="0"/>
                <w:numId w:val="27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учет выполненных учреждением работ (НИР, ОКР). Работы могут быть многоэтапными. Предусмотрено оформление Актов сдачи-приемки работ, как по каждому этапу, так и по завершении работы в це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лом.</w:t>
            </w:r>
          </w:p>
          <w:p w:rsidR="00031B6E" w:rsidRDefault="003F22B2">
            <w:pPr>
              <w:pStyle w:val="ac"/>
              <w:numPr>
                <w:ilvl w:val="0"/>
                <w:numId w:val="27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оформление счетов-фактур и автоматическое формирование Книги продаж согласно НК РФ и Правилам заполнения (ведения) документов, применяемых при расчетах по налогу на добавленную стоимость (утв. Постановлением Правительства РФ от 26.12.2011 № 1137),</w:t>
            </w:r>
          </w:p>
          <w:p w:rsidR="00031B6E" w:rsidRDefault="003F22B2">
            <w:pPr>
              <w:pStyle w:val="ac"/>
              <w:numPr>
                <w:ilvl w:val="0"/>
                <w:numId w:val="27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выс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тавление счетов на оплату, автоматическое списание прямых и накладных затрат по услугам (работам) на текущий финансовый результат,</w:t>
            </w:r>
          </w:p>
          <w:p w:rsidR="00031B6E" w:rsidRDefault="003F22B2">
            <w:pPr>
              <w:pStyle w:val="ac"/>
              <w:numPr>
                <w:ilvl w:val="0"/>
                <w:numId w:val="27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операции по зачету полученных авансов,</w:t>
            </w:r>
          </w:p>
          <w:p w:rsidR="00031B6E" w:rsidRDefault="003F22B2">
            <w:pPr>
              <w:pStyle w:val="ac"/>
              <w:numPr>
                <w:ilvl w:val="0"/>
                <w:numId w:val="27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регистры учета по расчетам с дебиторами – Журнал операций расчетов с дебиторами по дох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одам № 5, Карточка учета средств и расчетов (ф. 0504051).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23</w:t>
            </w:r>
          </w:p>
        </w:tc>
        <w:tc>
          <w:tcPr>
            <w:tcW w:w="2410" w:type="dxa"/>
          </w:tcPr>
          <w:p w:rsidR="00031B6E" w:rsidRDefault="003F22B2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Учет НДС</w:t>
            </w:r>
          </w:p>
        </w:tc>
        <w:tc>
          <w:tcPr>
            <w:tcW w:w="6374" w:type="dxa"/>
          </w:tcPr>
          <w:p w:rsidR="00031B6E" w:rsidRDefault="003F22B2">
            <w:pPr>
              <w:shd w:val="clear" w:color="auto" w:fill="FFFFFF"/>
              <w:suppressAutoHyphens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 его состав должны входить возможности:</w:t>
            </w:r>
          </w:p>
          <w:p w:rsidR="00031B6E" w:rsidRDefault="003F22B2">
            <w:pPr>
              <w:pStyle w:val="ac"/>
              <w:numPr>
                <w:ilvl w:val="0"/>
                <w:numId w:val="28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учета НДС как налогоплательщика, так и налогового агента. Поддерживаться операции по ставке 0 %, учет НДС со строительно-монтажных работ, выполн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енных для собственного потребления хозяйственным способом, согласно НК РФ,</w:t>
            </w:r>
          </w:p>
          <w:p w:rsidR="00031B6E" w:rsidRDefault="003F22B2">
            <w:pPr>
              <w:pStyle w:val="ac"/>
              <w:numPr>
                <w:ilvl w:val="0"/>
                <w:numId w:val="28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раздельного учета сумм НДС, предъявленных налогоплательщику по товарам (работам, услугам), в том числе основным средствам и нематериальным активам, имущественным правам,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используемым для осуществления операций, не облагаемых налогом на добавленную стоимость согласно п. 4 ст. 170 гл. 21 НК РФ,</w:t>
            </w:r>
          </w:p>
          <w:p w:rsidR="00031B6E" w:rsidRDefault="003F22B2">
            <w:pPr>
              <w:pStyle w:val="ac"/>
              <w:numPr>
                <w:ilvl w:val="0"/>
                <w:numId w:val="28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оформления счет-фактуры как на один документ поступления, так и на несколько документов поступления при многократных поставках от од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ного поставщика в течение дня, месяца,</w:t>
            </w:r>
          </w:p>
          <w:p w:rsidR="00031B6E" w:rsidRDefault="003F22B2">
            <w:pPr>
              <w:pStyle w:val="ac"/>
              <w:numPr>
                <w:ilvl w:val="0"/>
                <w:numId w:val="28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автоматической регистрации счетов-фактур по полученным авансам за заданный период,</w:t>
            </w:r>
          </w:p>
          <w:p w:rsidR="00031B6E" w:rsidRDefault="003F22B2">
            <w:pPr>
              <w:pStyle w:val="ac"/>
              <w:numPr>
                <w:ilvl w:val="0"/>
                <w:numId w:val="28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автоматического формирования Книги продаж, Книги покупок и Журнала учета полученных, выставленных счетов-фактур в соответствии с НК РФ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и Правилам заполнения (ведения) документов, применяемых при расчетах по налогу на добавленную стоимость (утв. Постановлением Правительства РФ от 26.12.2011 N 1137). Должно быть реализовано формирование дополнительных листов Книги покупок и Книги продаж, у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чтены особенности отражения корректировочных и исправительных счетов-фактур.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410" w:type="dxa"/>
          </w:tcPr>
          <w:p w:rsidR="00031B6E" w:rsidRDefault="003F22B2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Налоговый учет налога на прибыль по приносящей доход деятельности в соответствии с гл. 25 НК РФ</w:t>
            </w:r>
          </w:p>
          <w:p w:rsidR="00031B6E" w:rsidRDefault="00031B6E">
            <w:pPr>
              <w:snapToGrid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374" w:type="dxa"/>
          </w:tcPr>
          <w:p w:rsidR="00031B6E" w:rsidRDefault="003F22B2">
            <w:p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 его состав должны входить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:</w:t>
            </w:r>
          </w:p>
          <w:p w:rsidR="00031B6E" w:rsidRDefault="003F22B2">
            <w:pPr>
              <w:pStyle w:val="ac"/>
              <w:numPr>
                <w:ilvl w:val="0"/>
                <w:numId w:val="29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соответствие счетов налогового учета счетам Едино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го плана счетов бухгалтерского учета. Это позволяет для ведения налогового учета доходов и расходов применять те же документы, что и для бухгалтерского учета,</w:t>
            </w:r>
          </w:p>
          <w:p w:rsidR="00031B6E" w:rsidRDefault="003F22B2">
            <w:pPr>
              <w:pStyle w:val="ac"/>
              <w:numPr>
                <w:ilvl w:val="0"/>
                <w:numId w:val="29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ведение налогового учета параллельно с бухгалтерским. Хозяйственные операции по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приносящей доход деятельности (КФО=2) должны отражаться одновременно и в бухгалтерском, и в налоговом учете,</w:t>
            </w:r>
          </w:p>
          <w:p w:rsidR="00031B6E" w:rsidRDefault="003F22B2">
            <w:pPr>
              <w:pStyle w:val="ac"/>
              <w:numPr>
                <w:ilvl w:val="0"/>
                <w:numId w:val="29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отражение также внереализационных доходов и расходов,</w:t>
            </w:r>
          </w:p>
          <w:p w:rsidR="00031B6E" w:rsidRDefault="003F22B2">
            <w:pPr>
              <w:pStyle w:val="ac"/>
              <w:numPr>
                <w:ilvl w:val="0"/>
                <w:numId w:val="29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регламентные операции налогового учета, такие как списание убытков прошлых лет, расчет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базы по налогу на прибыль и суммы налога на прибыль, закрытие в конце года счетов налогового учета,</w:t>
            </w:r>
          </w:p>
          <w:p w:rsidR="00031B6E" w:rsidRDefault="003F22B2">
            <w:pPr>
              <w:pStyle w:val="ac"/>
              <w:numPr>
                <w:ilvl w:val="0"/>
                <w:numId w:val="29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помощник "Ввод начальных данных налогового учета", для того, чтобы можно было:</w:t>
            </w:r>
          </w:p>
          <w:p w:rsidR="00031B6E" w:rsidRDefault="003F22B2">
            <w:pPr>
              <w:pStyle w:val="ac"/>
              <w:numPr>
                <w:ilvl w:val="0"/>
                <w:numId w:val="30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установить дату начала ведения налогового учета в программе;</w:t>
            </w:r>
          </w:p>
          <w:p w:rsidR="00031B6E" w:rsidRDefault="003F22B2">
            <w:pPr>
              <w:pStyle w:val="ac"/>
              <w:numPr>
                <w:ilvl w:val="0"/>
                <w:numId w:val="30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выполнить необхо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димые настройки налогового учета:</w:t>
            </w:r>
          </w:p>
          <w:p w:rsidR="00031B6E" w:rsidRDefault="003F22B2">
            <w:pPr>
              <w:pStyle w:val="ac"/>
              <w:numPr>
                <w:ilvl w:val="0"/>
                <w:numId w:val="30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установить порядок распределения общепроизводственных и общехозяйственных затрат, порядок отнесения расходов в налоговом учете к прямым;</w:t>
            </w:r>
          </w:p>
          <w:p w:rsidR="00031B6E" w:rsidRDefault="003F22B2">
            <w:pPr>
              <w:pStyle w:val="ac"/>
              <w:numPr>
                <w:ilvl w:val="0"/>
                <w:numId w:val="30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выполнить настройку раздельного учета доходов и расходов по операциям с различным пор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ядком налогообложения;</w:t>
            </w:r>
          </w:p>
          <w:p w:rsidR="00031B6E" w:rsidRDefault="003F22B2">
            <w:pPr>
              <w:pStyle w:val="ac"/>
              <w:numPr>
                <w:ilvl w:val="0"/>
                <w:numId w:val="30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ввести входящие остатки на счета налогового учета.</w:t>
            </w:r>
          </w:p>
          <w:p w:rsidR="00031B6E" w:rsidRDefault="003F22B2">
            <w:pPr>
              <w:pStyle w:val="ac"/>
              <w:numPr>
                <w:ilvl w:val="0"/>
                <w:numId w:val="31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автоматическое заполнение налоговой декларации по налогу на прибыль организаций по данным налогового учета. Возможность выгрузки подготовленной декларации для отправки по телекоммуни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кационным каналам связи или распечатать на машиночитаемом бланке.</w:t>
            </w:r>
          </w:p>
        </w:tc>
      </w:tr>
      <w:tr w:rsidR="00031B6E">
        <w:tc>
          <w:tcPr>
            <w:tcW w:w="561" w:type="dxa"/>
          </w:tcPr>
          <w:p w:rsidR="00031B6E" w:rsidRDefault="003F22B2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25</w:t>
            </w:r>
          </w:p>
        </w:tc>
        <w:tc>
          <w:tcPr>
            <w:tcW w:w="2410" w:type="dxa"/>
          </w:tcPr>
          <w:p w:rsidR="00031B6E" w:rsidRDefault="003F22B2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Интеграция с ГИС ГМП и региональными системами</w:t>
            </w:r>
          </w:p>
          <w:p w:rsidR="00031B6E" w:rsidRDefault="00031B6E">
            <w:pPr>
              <w:snapToGrid w:val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374" w:type="dxa"/>
          </w:tcPr>
          <w:p w:rsidR="00031B6E" w:rsidRDefault="003F22B2">
            <w:p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В программе должно быть предусмотрено взаимодействие с государственной информационной системой о Государственных и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муниципальных платежах (ГИС ГМП) и региональными системами согласно пункту 2.18 Порядка информационного взаимодействия Участников с оператором ГИС ГМП (приказ Казначейства России от 30.11.2012 № 19н), и пункту 2.26 Порядка № 19н.</w:t>
            </w:r>
          </w:p>
          <w:p w:rsidR="00031B6E" w:rsidRDefault="003F22B2">
            <w:p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Взаимодействия с ГИС ГМП д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олжно предусматривать:</w:t>
            </w:r>
          </w:p>
          <w:p w:rsidR="00031B6E" w:rsidRDefault="003F22B2">
            <w:pPr>
              <w:pStyle w:val="ac"/>
              <w:numPr>
                <w:ilvl w:val="0"/>
                <w:numId w:val="31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экспорт информации о начислениях за предоставляемые гос. услуги (как собственных, так и начислений подведомственных);</w:t>
            </w:r>
          </w:p>
          <w:p w:rsidR="00031B6E" w:rsidRDefault="003F22B2">
            <w:pPr>
              <w:pStyle w:val="ac"/>
              <w:numPr>
                <w:ilvl w:val="0"/>
                <w:numId w:val="31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импорт информации о произведенном плательщиком платеже (как для себя, так и для подведомственных);</w:t>
            </w:r>
          </w:p>
          <w:p w:rsidR="00031B6E" w:rsidRDefault="003F22B2">
            <w:pPr>
              <w:pStyle w:val="ac"/>
              <w:numPr>
                <w:ilvl w:val="0"/>
                <w:numId w:val="31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зап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роса к системе на получение информации о платежах (как по начислениям, так и авансовых);</w:t>
            </w:r>
          </w:p>
          <w:p w:rsidR="00031B6E" w:rsidRDefault="003F22B2">
            <w:pPr>
              <w:pStyle w:val="ac"/>
              <w:numPr>
                <w:ilvl w:val="0"/>
                <w:numId w:val="31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использование электронной подписи при обмене документами с ГИС ГМП;</w:t>
            </w:r>
          </w:p>
          <w:p w:rsidR="00031B6E" w:rsidRDefault="003F22B2">
            <w:pPr>
              <w:pStyle w:val="ac"/>
              <w:numPr>
                <w:ilvl w:val="0"/>
                <w:numId w:val="31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квитирование распределенных платежей с начислением в ГИС ГМП по инициативе АН.</w:t>
            </w:r>
          </w:p>
          <w:p w:rsidR="00031B6E" w:rsidRDefault="003F22B2">
            <w:pPr>
              <w:pStyle w:val="ac"/>
              <w:numPr>
                <w:ilvl w:val="0"/>
                <w:numId w:val="31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 части взаимодейств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ия с региональными системами:</w:t>
            </w:r>
          </w:p>
          <w:p w:rsidR="00031B6E" w:rsidRDefault="003F22B2">
            <w:pPr>
              <w:pStyle w:val="ac"/>
              <w:numPr>
                <w:ilvl w:val="0"/>
                <w:numId w:val="32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экспорт каталога предоставляемых услуг;</w:t>
            </w:r>
          </w:p>
          <w:p w:rsidR="00031B6E" w:rsidRDefault="003F22B2">
            <w:pPr>
              <w:pStyle w:val="ac"/>
              <w:numPr>
                <w:ilvl w:val="0"/>
                <w:numId w:val="32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экспорт информации о начислениях за предоставляемые гос. услуги;</w:t>
            </w:r>
          </w:p>
          <w:p w:rsidR="00031B6E" w:rsidRDefault="003F22B2">
            <w:pPr>
              <w:pStyle w:val="ac"/>
              <w:numPr>
                <w:ilvl w:val="0"/>
                <w:numId w:val="32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импорт информации о произведенном плательщиком платежах (как по начислениям, так и авансовых);</w:t>
            </w:r>
          </w:p>
          <w:p w:rsidR="00031B6E" w:rsidRDefault="003F22B2">
            <w:pPr>
              <w:pStyle w:val="ac"/>
              <w:numPr>
                <w:ilvl w:val="0"/>
                <w:numId w:val="32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использование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электронной подписи (ЭП) при обмене документами с региональными системами;</w:t>
            </w:r>
          </w:p>
          <w:p w:rsidR="00031B6E" w:rsidRDefault="003F22B2">
            <w:pPr>
              <w:pStyle w:val="ac"/>
              <w:numPr>
                <w:ilvl w:val="0"/>
                <w:numId w:val="32"/>
              </w:numPr>
              <w:shd w:val="clear" w:color="auto" w:fill="FFFFFF"/>
              <w:suppressAutoHyphens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квитирование распределенных платежей с начислением в региональные системы по инициативе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поставщика услуг.</w:t>
            </w:r>
          </w:p>
        </w:tc>
      </w:tr>
    </w:tbl>
    <w:p w:rsidR="00031B6E" w:rsidRDefault="00031B6E">
      <w:pPr>
        <w:spacing w:after="113"/>
        <w:jc w:val="both"/>
        <w:rPr>
          <w:rFonts w:ascii="Times New Roman" w:hAnsi="Times New Roman"/>
          <w:sz w:val="22"/>
          <w:szCs w:val="22"/>
        </w:rPr>
      </w:pPr>
    </w:p>
    <w:p w:rsidR="00031B6E" w:rsidRDefault="003F22B2">
      <w:pPr>
        <w:pStyle w:val="ac"/>
        <w:numPr>
          <w:ilvl w:val="0"/>
          <w:numId w:val="35"/>
        </w:numPr>
        <w:spacing w:after="113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b/>
          <w:bCs/>
          <w:color w:val="000000"/>
          <w:sz w:val="22"/>
          <w:szCs w:val="22"/>
        </w:rPr>
        <w:t>Требования к оказываемым услугам.</w:t>
      </w:r>
    </w:p>
    <w:p w:rsidR="00031B6E" w:rsidRDefault="00031B6E">
      <w:pPr>
        <w:pStyle w:val="ac"/>
        <w:spacing w:after="113"/>
        <w:ind w:left="360"/>
        <w:jc w:val="both"/>
        <w:rPr>
          <w:rFonts w:ascii="Times New Roman" w:hAnsi="Times New Roman"/>
          <w:b/>
          <w:sz w:val="22"/>
          <w:szCs w:val="22"/>
        </w:rPr>
      </w:pPr>
    </w:p>
    <w:p w:rsidR="00031B6E" w:rsidRDefault="003F22B2">
      <w:pPr>
        <w:pStyle w:val="ac"/>
        <w:spacing w:after="113"/>
        <w:ind w:left="360" w:firstLine="207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 xml:space="preserve">В рамках исполнения условий </w:t>
      </w:r>
      <w:r>
        <w:rPr>
          <w:rFonts w:ascii="Times New Roman" w:eastAsia="Calibri" w:hAnsi="Times New Roman"/>
          <w:color w:val="000000"/>
          <w:sz w:val="22"/>
          <w:szCs w:val="22"/>
        </w:rPr>
        <w:t>настоящего технического задания Исполнитель обязуется выполнять следующие требования:</w:t>
      </w:r>
    </w:p>
    <w:p w:rsidR="00031B6E" w:rsidRDefault="003F22B2">
      <w:pPr>
        <w:pStyle w:val="ac"/>
        <w:numPr>
          <w:ilvl w:val="1"/>
          <w:numId w:val="35"/>
        </w:numPr>
        <w:spacing w:after="113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В числе специалистов исполнителя, силами которых будет осуществляться информационно-консультационное обслуживание должны быть специалисты следующего уровня:</w:t>
      </w:r>
    </w:p>
    <w:p w:rsidR="00031B6E" w:rsidRDefault="003F22B2">
      <w:pPr>
        <w:pStyle w:val="ac"/>
        <w:numPr>
          <w:ilvl w:val="0"/>
          <w:numId w:val="33"/>
        </w:numPr>
        <w:spacing w:after="11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1С: Специалис</w:t>
      </w:r>
      <w:r>
        <w:rPr>
          <w:rFonts w:ascii="Times New Roman" w:eastAsia="Calibri" w:hAnsi="Times New Roman"/>
          <w:color w:val="000000"/>
          <w:sz w:val="22"/>
          <w:szCs w:val="22"/>
        </w:rPr>
        <w:t>т. Платформа 1С: Предприятие 8.</w:t>
      </w:r>
    </w:p>
    <w:p w:rsidR="00031B6E" w:rsidRDefault="003F22B2">
      <w:pPr>
        <w:pStyle w:val="ac"/>
        <w:numPr>
          <w:ilvl w:val="0"/>
          <w:numId w:val="33"/>
        </w:numPr>
        <w:spacing w:after="11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1С: Профессионал. Платформа 1С: Предприятие 8.2.</w:t>
      </w:r>
    </w:p>
    <w:p w:rsidR="00031B6E" w:rsidRDefault="003F22B2">
      <w:pPr>
        <w:pStyle w:val="ac"/>
        <w:numPr>
          <w:ilvl w:val="0"/>
          <w:numId w:val="33"/>
        </w:numPr>
        <w:spacing w:after="11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1С: Профессионал по программе «1С: Бухгалтерия государственного учреждения 8».</w:t>
      </w:r>
    </w:p>
    <w:p w:rsidR="00031B6E" w:rsidRDefault="003F22B2">
      <w:pPr>
        <w:pStyle w:val="ac"/>
        <w:numPr>
          <w:ilvl w:val="0"/>
          <w:numId w:val="33"/>
        </w:numPr>
        <w:spacing w:after="11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КАМИН: Профессионал «Расчет заработной платы для бюджетных учреждений. Версия 3.5».</w:t>
      </w:r>
    </w:p>
    <w:p w:rsidR="00031B6E" w:rsidRDefault="003F22B2">
      <w:pPr>
        <w:pStyle w:val="ac"/>
        <w:numPr>
          <w:ilvl w:val="1"/>
          <w:numId w:val="35"/>
        </w:numPr>
        <w:snapToGrid w:val="0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Обязателен о</w:t>
      </w:r>
      <w:r>
        <w:rPr>
          <w:rFonts w:ascii="Times New Roman" w:eastAsia="Calibri" w:hAnsi="Times New Roman"/>
          <w:color w:val="000000"/>
          <w:sz w:val="22"/>
          <w:szCs w:val="22"/>
        </w:rPr>
        <w:t>пыт работы с государственными казенными и бюджетными учреждениями.</w:t>
      </w:r>
    </w:p>
    <w:p w:rsidR="00031B6E" w:rsidRDefault="003F22B2">
      <w:pPr>
        <w:pStyle w:val="ac"/>
        <w:numPr>
          <w:ilvl w:val="1"/>
          <w:numId w:val="35"/>
        </w:numPr>
        <w:snapToGrid w:val="0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Исполнитель должен иметь статус официального партнера фирмы «1С»;</w:t>
      </w:r>
    </w:p>
    <w:p w:rsidR="00031B6E" w:rsidRDefault="003F22B2">
      <w:pPr>
        <w:pStyle w:val="ac"/>
        <w:numPr>
          <w:ilvl w:val="1"/>
          <w:numId w:val="35"/>
        </w:numPr>
        <w:snapToGrid w:val="0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Исполнитель должен иметь лицензионный договор (договор субподряда) с фирмой разработчиком данной программы.</w:t>
      </w:r>
    </w:p>
    <w:p w:rsidR="00031B6E" w:rsidRDefault="003F22B2">
      <w:pPr>
        <w:pStyle w:val="ac"/>
        <w:numPr>
          <w:ilvl w:val="1"/>
          <w:numId w:val="35"/>
        </w:numPr>
        <w:snapToGrid w:val="0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Исполнитель дол</w:t>
      </w:r>
      <w:r>
        <w:rPr>
          <w:rFonts w:ascii="Times New Roman" w:eastAsia="Calibri" w:hAnsi="Times New Roman"/>
          <w:color w:val="000000"/>
          <w:sz w:val="22"/>
          <w:szCs w:val="22"/>
        </w:rPr>
        <w:t>жен иметь доступ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eastAsia="Calibri" w:hAnsi="Times New Roman"/>
          <w:color w:val="000000"/>
          <w:sz w:val="22"/>
          <w:szCs w:val="22"/>
        </w:rPr>
        <w:t>к официальным обновлениям, услугам линии консультаций и технической поддержки программного продукта «Конфигурация для учреждений ФСИН».</w:t>
      </w:r>
    </w:p>
    <w:p w:rsidR="00031B6E" w:rsidRDefault="003F22B2">
      <w:pPr>
        <w:pStyle w:val="ac"/>
        <w:numPr>
          <w:ilvl w:val="1"/>
          <w:numId w:val="35"/>
        </w:numPr>
        <w:snapToGrid w:val="0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Услуги оказываются собственными силами Исполнителя без привлечения 3-х лиц.</w:t>
      </w:r>
    </w:p>
    <w:p w:rsidR="00031B6E" w:rsidRDefault="003F22B2">
      <w:pPr>
        <w:pStyle w:val="ac"/>
        <w:numPr>
          <w:ilvl w:val="1"/>
          <w:numId w:val="35"/>
        </w:numPr>
        <w:snapToGrid w:val="0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eastAsia="Calibri" w:hAnsi="Times New Roman"/>
          <w:color w:val="000000"/>
          <w:sz w:val="22"/>
          <w:szCs w:val="22"/>
        </w:rPr>
        <w:t>Отсутствие в реестре недобр</w:t>
      </w:r>
      <w:r>
        <w:rPr>
          <w:rFonts w:ascii="Times New Roman" w:eastAsia="Calibri" w:hAnsi="Times New Roman"/>
          <w:color w:val="000000"/>
          <w:sz w:val="22"/>
          <w:szCs w:val="22"/>
        </w:rPr>
        <w:t>осовестных поставщиков.</w:t>
      </w:r>
    </w:p>
    <w:p w:rsidR="00031B6E" w:rsidRDefault="003F22B2">
      <w:pPr>
        <w:pStyle w:val="ac"/>
        <w:numPr>
          <w:ilvl w:val="1"/>
          <w:numId w:val="35"/>
        </w:numPr>
        <w:snapToGrid w:val="0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Место оказываемых услуг: лично Исполнителем по адресу получателя услуг либо дистанционно. Дистанционное подключение должно:</w:t>
      </w:r>
    </w:p>
    <w:p w:rsidR="00031B6E" w:rsidRDefault="003F22B2">
      <w:pPr>
        <w:pStyle w:val="ac"/>
        <w:snapToGrid w:val="0"/>
        <w:ind w:left="1512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соответствовать требованиям законодательства РФ в области защиты информации ограниченного доступа, не </w:t>
      </w:r>
      <w:r>
        <w:rPr>
          <w:rFonts w:ascii="Times New Roman" w:hAnsi="Times New Roman"/>
          <w:sz w:val="22"/>
          <w:szCs w:val="22"/>
        </w:rPr>
        <w:t>содержащей сведения, составляющие государственную тайну;</w:t>
      </w:r>
    </w:p>
    <w:p w:rsidR="00031B6E" w:rsidRDefault="003F22B2">
      <w:pPr>
        <w:pStyle w:val="ac"/>
        <w:snapToGrid w:val="0"/>
        <w:ind w:left="1512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быть реализованным с помощью защищенного удаленного доступа через внешние информационно-телекоммуникационные сети с использованием сертифицированных средств удаленного доступа, гарантирующих исключ</w:t>
      </w:r>
      <w:r>
        <w:rPr>
          <w:rFonts w:ascii="Times New Roman" w:hAnsi="Times New Roman"/>
          <w:sz w:val="22"/>
          <w:szCs w:val="22"/>
        </w:rPr>
        <w:t>ение утечки информации по техническим каналам, несанкционированного доступа, распространения, уничтожения, искажения или блокирования доступа к ней.</w:t>
      </w:r>
    </w:p>
    <w:p w:rsidR="00031B6E" w:rsidRDefault="003F22B2">
      <w:pPr>
        <w:pStyle w:val="ac"/>
        <w:snapToGrid w:val="0"/>
        <w:ind w:left="1512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 организации удалённого доступа Заказчик и Исполнитель совместно обеспечивают выполнение требований зако</w:t>
      </w:r>
      <w:r>
        <w:rPr>
          <w:rFonts w:ascii="Times New Roman" w:hAnsi="Times New Roman"/>
          <w:sz w:val="22"/>
          <w:szCs w:val="22"/>
        </w:rPr>
        <w:t>нодательства РФ в области защиты информации путём организации и функционирования защищённого канала связи (далее — ЗКС) следующим образом:</w:t>
      </w:r>
    </w:p>
    <w:p w:rsidR="00031B6E" w:rsidRDefault="003F22B2">
      <w:pPr>
        <w:pStyle w:val="ac"/>
        <w:snapToGrid w:val="0"/>
        <w:ind w:left="1512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Исполнитель со своей стороны обеспечивает наличие и надлежащее функционирование сертифицированного средства криптог</w:t>
      </w:r>
      <w:r>
        <w:rPr>
          <w:rFonts w:ascii="Times New Roman" w:hAnsi="Times New Roman"/>
          <w:sz w:val="22"/>
          <w:szCs w:val="22"/>
        </w:rPr>
        <w:t>рафической защиты информации (криптографического шлюза); возможность установления и функционирования ЗКС через него;</w:t>
      </w:r>
    </w:p>
    <w:p w:rsidR="00031B6E" w:rsidRDefault="003F22B2">
      <w:pPr>
        <w:pStyle w:val="ac"/>
        <w:snapToGrid w:val="0"/>
        <w:ind w:left="1512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Заказчик гарантирует, что со своей стороны использует сертифицированное средство удаленного доступа (ПО для удалённого доступа), </w:t>
      </w:r>
      <w:r>
        <w:rPr>
          <w:rFonts w:ascii="Times New Roman" w:hAnsi="Times New Roman"/>
          <w:sz w:val="22"/>
          <w:szCs w:val="22"/>
        </w:rPr>
        <w:t>необходимое для подключения к ЗКС между Заказчиком и Исполнителем.</w:t>
      </w:r>
    </w:p>
    <w:p w:rsidR="00031B6E" w:rsidRDefault="003F22B2">
      <w:pPr>
        <w:pStyle w:val="ac"/>
        <w:snapToGrid w:val="0"/>
        <w:ind w:left="1512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случае отсутствия у Заказчика сертифицированного средства удаленного доступа (ПО для удалённого доступа), с помощью которого Заказчик подключается к ЗКС, Исполнитель ответственность не не</w:t>
      </w:r>
      <w:r>
        <w:rPr>
          <w:rFonts w:ascii="Times New Roman" w:hAnsi="Times New Roman"/>
          <w:sz w:val="22"/>
          <w:szCs w:val="22"/>
        </w:rPr>
        <w:t>сет.</w:t>
      </w:r>
    </w:p>
    <w:p w:rsidR="00031B6E" w:rsidRDefault="003F22B2">
      <w:pPr>
        <w:pStyle w:val="ac"/>
        <w:numPr>
          <w:ilvl w:val="1"/>
          <w:numId w:val="35"/>
        </w:numPr>
        <w:snapToGrid w:val="0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Доступ к базе могут иметь только сотрудники, состоящие в штате.</w:t>
      </w:r>
    </w:p>
    <w:p w:rsidR="00031B6E" w:rsidRDefault="003F22B2">
      <w:pPr>
        <w:pStyle w:val="ac"/>
        <w:numPr>
          <w:ilvl w:val="1"/>
          <w:numId w:val="35"/>
        </w:numPr>
        <w:snapToGrid w:val="0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Срок оказания услуг: После заключения государственного контракта и до выполнения всех обязательств по настоящему контракту.</w:t>
      </w:r>
    </w:p>
    <w:p w:rsidR="00031B6E" w:rsidRDefault="00031B6E">
      <w:pPr>
        <w:snapToGrid w:val="0"/>
        <w:jc w:val="both"/>
        <w:rPr>
          <w:rFonts w:ascii="Times New Roman" w:eastAsia="Calibri" w:hAnsi="Times New Roman"/>
          <w:color w:val="000000"/>
          <w:sz w:val="22"/>
          <w:szCs w:val="22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987"/>
        <w:gridCol w:w="2127"/>
        <w:gridCol w:w="1138"/>
        <w:gridCol w:w="420"/>
        <w:gridCol w:w="992"/>
        <w:gridCol w:w="1344"/>
        <w:gridCol w:w="779"/>
        <w:gridCol w:w="1558"/>
      </w:tblGrid>
      <w:tr w:rsidR="00031B6E">
        <w:tc>
          <w:tcPr>
            <w:tcW w:w="46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1B6E" w:rsidRDefault="003F22B2">
            <w:pPr>
              <w:snapToGrid w:val="0"/>
              <w:jc w:val="both"/>
              <w:rPr>
                <w:rFonts w:ascii="Times New Roman" w:eastAsia="Calibri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«Государственный заказчик»</w:t>
            </w:r>
          </w:p>
        </w:tc>
        <w:tc>
          <w:tcPr>
            <w:tcW w:w="46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1B6E" w:rsidRDefault="003F22B2">
            <w:pPr>
              <w:snapToGrid w:val="0"/>
              <w:jc w:val="both"/>
              <w:rPr>
                <w:rFonts w:ascii="Times New Roman" w:eastAsia="Calibri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«Исполнитель»</w:t>
            </w:r>
          </w:p>
        </w:tc>
      </w:tr>
      <w:tr w:rsidR="00031B6E">
        <w:tc>
          <w:tcPr>
            <w:tcW w:w="46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1B6E" w:rsidRDefault="00031B6E">
            <w:pPr>
              <w:snapToGrid w:val="0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1B6E" w:rsidRDefault="003F22B2">
            <w:pPr>
              <w:snapToGrid w:val="0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Общество с ограниче</w:t>
            </w:r>
            <w:r>
              <w:rPr>
                <w:rFonts w:ascii="Times New Roman" w:hAnsi="Times New Roman"/>
                <w:sz w:val="22"/>
                <w:szCs w:val="22"/>
              </w:rPr>
              <w:t>нной ответственностью «Бухучет сервис»</w:t>
            </w:r>
          </w:p>
        </w:tc>
      </w:tr>
      <w:tr w:rsidR="00031B6E">
        <w:tc>
          <w:tcPr>
            <w:tcW w:w="46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1B6E" w:rsidRDefault="00031B6E">
            <w:pPr>
              <w:snapToGrid w:val="0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1B6E" w:rsidRDefault="00031B6E">
            <w:pPr>
              <w:snapToGrid w:val="0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</w:tr>
      <w:tr w:rsidR="00031B6E">
        <w:tc>
          <w:tcPr>
            <w:tcW w:w="4252" w:type="dxa"/>
            <w:gridSpan w:val="3"/>
            <w:tcBorders>
              <w:top w:val="nil"/>
              <w:left w:val="nil"/>
              <w:right w:val="nil"/>
            </w:tcBorders>
          </w:tcPr>
          <w:p w:rsidR="00031B6E" w:rsidRDefault="00031B6E">
            <w:pPr>
              <w:snapToGrid w:val="0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031B6E" w:rsidRDefault="00031B6E">
            <w:pPr>
              <w:snapToGrid w:val="0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1B6E" w:rsidRDefault="003F22B2">
            <w:pPr>
              <w:snapToGrid w:val="0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Генеральный директор:</w:t>
            </w:r>
          </w:p>
        </w:tc>
      </w:tr>
      <w:tr w:rsidR="00031B6E">
        <w:tc>
          <w:tcPr>
            <w:tcW w:w="4252" w:type="dxa"/>
            <w:gridSpan w:val="3"/>
            <w:tcBorders>
              <w:left w:val="nil"/>
              <w:right w:val="nil"/>
            </w:tcBorders>
          </w:tcPr>
          <w:p w:rsidR="00031B6E" w:rsidRDefault="00031B6E">
            <w:pPr>
              <w:snapToGrid w:val="0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031B6E" w:rsidRDefault="00031B6E">
            <w:pPr>
              <w:snapToGrid w:val="0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1B6E" w:rsidRDefault="003F22B2">
            <w:pPr>
              <w:snapToGrid w:val="0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А.Г. Корлыханов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1B6E" w:rsidRDefault="00031B6E">
            <w:pPr>
              <w:snapToGrid w:val="0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</w:tr>
      <w:tr w:rsidR="00031B6E"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031B6E" w:rsidRDefault="003F22B2">
            <w:pPr>
              <w:snapToGrid w:val="0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«       »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031B6E" w:rsidRDefault="00031B6E">
            <w:pPr>
              <w:snapToGrid w:val="0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1B6E" w:rsidRDefault="003F22B2">
            <w:pPr>
              <w:snapToGrid w:val="0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20___г.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31B6E" w:rsidRDefault="003F22B2">
            <w:pPr>
              <w:snapToGrid w:val="0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«       »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right w:val="nil"/>
            </w:tcBorders>
          </w:tcPr>
          <w:p w:rsidR="00031B6E" w:rsidRDefault="00031B6E">
            <w:pPr>
              <w:snapToGrid w:val="0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31B6E" w:rsidRDefault="003F22B2">
            <w:pPr>
              <w:snapToGrid w:val="0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20___г.</w:t>
            </w:r>
          </w:p>
        </w:tc>
      </w:tr>
    </w:tbl>
    <w:p w:rsidR="00031B6E" w:rsidRDefault="00031B6E">
      <w:pPr>
        <w:snapToGrid w:val="0"/>
        <w:jc w:val="both"/>
        <w:rPr>
          <w:rFonts w:ascii="Times New Roman" w:eastAsia="Calibri" w:hAnsi="Times New Roman"/>
          <w:color w:val="000000"/>
          <w:sz w:val="22"/>
          <w:szCs w:val="22"/>
        </w:rPr>
      </w:pPr>
    </w:p>
    <w:p w:rsidR="00031B6E" w:rsidRDefault="00031B6E">
      <w:pPr>
        <w:pStyle w:val="DefaultText"/>
        <w:jc w:val="both"/>
        <w:rPr>
          <w:sz w:val="22"/>
          <w:szCs w:val="22"/>
        </w:rPr>
      </w:pPr>
    </w:p>
    <w:sectPr w:rsidR="00031B6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1DE"/>
    <w:multiLevelType w:val="multilevel"/>
    <w:tmpl w:val="9828A150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42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Symbol" w:hint="default"/>
      </w:rPr>
    </w:lvl>
  </w:abstractNum>
  <w:abstractNum w:abstractNumId="1" w15:restartNumberingAfterBreak="0">
    <w:nsid w:val="03D669F3"/>
    <w:multiLevelType w:val="multilevel"/>
    <w:tmpl w:val="97DAFBE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D52D50"/>
    <w:multiLevelType w:val="multilevel"/>
    <w:tmpl w:val="177A00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54485C"/>
    <w:multiLevelType w:val="multilevel"/>
    <w:tmpl w:val="88EE900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E633AC"/>
    <w:multiLevelType w:val="multilevel"/>
    <w:tmpl w:val="298666D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4B4DE4"/>
    <w:multiLevelType w:val="multilevel"/>
    <w:tmpl w:val="D168065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275131"/>
    <w:multiLevelType w:val="multilevel"/>
    <w:tmpl w:val="3BB05D7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F9C16D9"/>
    <w:multiLevelType w:val="multilevel"/>
    <w:tmpl w:val="7C367F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05C4C39"/>
    <w:multiLevelType w:val="multilevel"/>
    <w:tmpl w:val="BA72566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911C28"/>
    <w:multiLevelType w:val="multilevel"/>
    <w:tmpl w:val="AA482FA0"/>
    <w:lvl w:ilvl="0">
      <w:start w:val="1"/>
      <w:numFmt w:val="bullet"/>
      <w:lvlText w:val=""/>
      <w:lvlJc w:val="left"/>
      <w:pPr>
        <w:tabs>
          <w:tab w:val="num" w:pos="0"/>
        </w:tabs>
        <w:ind w:left="4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2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C30231"/>
    <w:multiLevelType w:val="multilevel"/>
    <w:tmpl w:val="A04876D4"/>
    <w:lvl w:ilvl="0">
      <w:start w:val="1"/>
      <w:numFmt w:val="bullet"/>
      <w:lvlText w:val=""/>
      <w:lvlJc w:val="left"/>
      <w:pPr>
        <w:tabs>
          <w:tab w:val="num" w:pos="0"/>
        </w:tabs>
        <w:ind w:left="15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7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867F93"/>
    <w:multiLevelType w:val="multilevel"/>
    <w:tmpl w:val="1D9A1BB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492B40"/>
    <w:multiLevelType w:val="multilevel"/>
    <w:tmpl w:val="BD1C67F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7B46BCD"/>
    <w:multiLevelType w:val="multilevel"/>
    <w:tmpl w:val="AD204B0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936873"/>
    <w:multiLevelType w:val="multilevel"/>
    <w:tmpl w:val="B22A7BF4"/>
    <w:lvl w:ilvl="0">
      <w:start w:val="1"/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47113B"/>
    <w:multiLevelType w:val="multilevel"/>
    <w:tmpl w:val="944CA1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2483AD3"/>
    <w:multiLevelType w:val="multilevel"/>
    <w:tmpl w:val="02D27A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A7C56CB"/>
    <w:multiLevelType w:val="multilevel"/>
    <w:tmpl w:val="DE3402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1035727"/>
    <w:multiLevelType w:val="multilevel"/>
    <w:tmpl w:val="9B0EE90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547598"/>
    <w:multiLevelType w:val="multilevel"/>
    <w:tmpl w:val="2EA27DE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38D4CEF"/>
    <w:multiLevelType w:val="multilevel"/>
    <w:tmpl w:val="4D866E7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D4518C6"/>
    <w:multiLevelType w:val="multilevel"/>
    <w:tmpl w:val="0E1463B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841789C"/>
    <w:multiLevelType w:val="multilevel"/>
    <w:tmpl w:val="A7B410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9A41F42"/>
    <w:multiLevelType w:val="multilevel"/>
    <w:tmpl w:val="B8E6C5A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3015F4F"/>
    <w:multiLevelType w:val="multilevel"/>
    <w:tmpl w:val="62BE67D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4D87CC3"/>
    <w:multiLevelType w:val="multilevel"/>
    <w:tmpl w:val="3FB6B9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58E5410"/>
    <w:multiLevelType w:val="multilevel"/>
    <w:tmpl w:val="50B6C0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F222AE4"/>
    <w:multiLevelType w:val="multilevel"/>
    <w:tmpl w:val="63DAFAB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1B45A79"/>
    <w:multiLevelType w:val="multilevel"/>
    <w:tmpl w:val="5830A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5017B25"/>
    <w:multiLevelType w:val="multilevel"/>
    <w:tmpl w:val="1372631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76D5E66"/>
    <w:multiLevelType w:val="multilevel"/>
    <w:tmpl w:val="902A235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8373085"/>
    <w:multiLevelType w:val="multilevel"/>
    <w:tmpl w:val="1BFC1BC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8D72D5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3" w15:restartNumberingAfterBreak="0">
    <w:nsid w:val="7A7E1934"/>
    <w:multiLevelType w:val="multilevel"/>
    <w:tmpl w:val="2940CEC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BA11CEF"/>
    <w:multiLevelType w:val="multilevel"/>
    <w:tmpl w:val="8B9A311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F2D26AD"/>
    <w:multiLevelType w:val="multilevel"/>
    <w:tmpl w:val="FB1607F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5"/>
  </w:num>
  <w:num w:numId="3">
    <w:abstractNumId w:val="33"/>
  </w:num>
  <w:num w:numId="4">
    <w:abstractNumId w:val="19"/>
  </w:num>
  <w:num w:numId="5">
    <w:abstractNumId w:val="16"/>
  </w:num>
  <w:num w:numId="6">
    <w:abstractNumId w:val="13"/>
  </w:num>
  <w:num w:numId="7">
    <w:abstractNumId w:val="24"/>
  </w:num>
  <w:num w:numId="8">
    <w:abstractNumId w:val="7"/>
  </w:num>
  <w:num w:numId="9">
    <w:abstractNumId w:val="2"/>
  </w:num>
  <w:num w:numId="10">
    <w:abstractNumId w:val="17"/>
  </w:num>
  <w:num w:numId="11">
    <w:abstractNumId w:val="14"/>
  </w:num>
  <w:num w:numId="12">
    <w:abstractNumId w:val="25"/>
  </w:num>
  <w:num w:numId="13">
    <w:abstractNumId w:val="15"/>
  </w:num>
  <w:num w:numId="14">
    <w:abstractNumId w:val="4"/>
  </w:num>
  <w:num w:numId="15">
    <w:abstractNumId w:val="9"/>
  </w:num>
  <w:num w:numId="16">
    <w:abstractNumId w:val="21"/>
  </w:num>
  <w:num w:numId="17">
    <w:abstractNumId w:val="22"/>
  </w:num>
  <w:num w:numId="18">
    <w:abstractNumId w:val="8"/>
  </w:num>
  <w:num w:numId="19">
    <w:abstractNumId w:val="20"/>
  </w:num>
  <w:num w:numId="20">
    <w:abstractNumId w:val="1"/>
  </w:num>
  <w:num w:numId="21">
    <w:abstractNumId w:val="26"/>
  </w:num>
  <w:num w:numId="22">
    <w:abstractNumId w:val="29"/>
  </w:num>
  <w:num w:numId="23">
    <w:abstractNumId w:val="35"/>
  </w:num>
  <w:num w:numId="24">
    <w:abstractNumId w:val="11"/>
  </w:num>
  <w:num w:numId="25">
    <w:abstractNumId w:val="18"/>
  </w:num>
  <w:num w:numId="26">
    <w:abstractNumId w:val="12"/>
  </w:num>
  <w:num w:numId="27">
    <w:abstractNumId w:val="31"/>
  </w:num>
  <w:num w:numId="28">
    <w:abstractNumId w:val="3"/>
  </w:num>
  <w:num w:numId="29">
    <w:abstractNumId w:val="23"/>
  </w:num>
  <w:num w:numId="30">
    <w:abstractNumId w:val="34"/>
  </w:num>
  <w:num w:numId="31">
    <w:abstractNumId w:val="30"/>
  </w:num>
  <w:num w:numId="32">
    <w:abstractNumId w:val="6"/>
  </w:num>
  <w:num w:numId="33">
    <w:abstractNumId w:val="10"/>
  </w:num>
  <w:num w:numId="34">
    <w:abstractNumId w:val="0"/>
  </w:num>
  <w:num w:numId="35">
    <w:abstractNumId w:val="32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6E"/>
    <w:rsid w:val="00031B6E"/>
    <w:rsid w:val="003F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5489"/>
  <w15:docId w15:val="{CED1D8E2-B89B-44EB-A00B-4595AF7B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579"/>
    <w:pPr>
      <w:widowControl w:val="0"/>
    </w:pPr>
    <w:rPr>
      <w:rFonts w:ascii="Arial" w:eastAsia="Lucida Sans Unicode" w:hAnsi="Arial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150D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E34579"/>
    <w:pPr>
      <w:keepNext/>
      <w:tabs>
        <w:tab w:val="left" w:pos="36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qFormat/>
    <w:rsid w:val="00E34579"/>
    <w:rPr>
      <w:rFonts w:ascii="Arial" w:eastAsia="Lucida Sans Unicode" w:hAnsi="Arial" w:cs="Times New Roman"/>
      <w:b/>
      <w:bCs/>
      <w:sz w:val="28"/>
      <w:szCs w:val="28"/>
      <w:lang w:eastAsia="ar-SA"/>
    </w:rPr>
  </w:style>
  <w:style w:type="character" w:customStyle="1" w:styleId="a3">
    <w:name w:val="Основной текст с отступом Знак"/>
    <w:basedOn w:val="a0"/>
    <w:semiHidden/>
    <w:qFormat/>
    <w:rsid w:val="00E34579"/>
    <w:rPr>
      <w:rFonts w:ascii="Arial" w:eastAsia="Lucida Sans Unicode" w:hAnsi="Arial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qFormat/>
    <w:rsid w:val="00150D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-">
    <w:name w:val="Интернет-ссылка"/>
    <w:basedOn w:val="a0"/>
    <w:uiPriority w:val="99"/>
    <w:semiHidden/>
    <w:unhideWhenUsed/>
    <w:rsid w:val="00065AD1"/>
    <w:rPr>
      <w:color w:val="0000FF"/>
      <w:u w:val="single"/>
    </w:rPr>
  </w:style>
  <w:style w:type="character" w:customStyle="1" w:styleId="2">
    <w:name w:val="Основной шрифт абзаца2"/>
    <w:qFormat/>
    <w:rsid w:val="002935D4"/>
  </w:style>
  <w:style w:type="character" w:customStyle="1" w:styleId="1">
    <w:name w:val="Основной шрифт абзаца1"/>
    <w:qFormat/>
    <w:rsid w:val="002935D4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semiHidden/>
    <w:unhideWhenUsed/>
    <w:qFormat/>
    <w:rsid w:val="00E34579"/>
    <w:pPr>
      <w:spacing w:before="280" w:after="280"/>
    </w:pPr>
  </w:style>
  <w:style w:type="paragraph" w:styleId="aa">
    <w:name w:val="Body Text Indent"/>
    <w:basedOn w:val="a"/>
    <w:semiHidden/>
    <w:unhideWhenUsed/>
    <w:rsid w:val="00E34579"/>
    <w:pPr>
      <w:spacing w:after="120"/>
      <w:ind w:left="283"/>
    </w:pPr>
  </w:style>
  <w:style w:type="paragraph" w:customStyle="1" w:styleId="ab">
    <w:name w:val="Текст в заданном формате"/>
    <w:basedOn w:val="a"/>
    <w:qFormat/>
    <w:rsid w:val="00E34579"/>
    <w:rPr>
      <w:rFonts w:ascii="Courier New" w:eastAsia="Courier New" w:hAnsi="Courier New" w:cs="Courier New"/>
      <w:sz w:val="20"/>
      <w:szCs w:val="20"/>
    </w:rPr>
  </w:style>
  <w:style w:type="paragraph" w:customStyle="1" w:styleId="DefaultText">
    <w:name w:val="Default Text"/>
    <w:qFormat/>
    <w:rsid w:val="00E34579"/>
    <w:pPr>
      <w:widowControl w:val="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44235E"/>
    <w:pPr>
      <w:ind w:left="720"/>
      <w:contextualSpacing/>
    </w:pPr>
  </w:style>
  <w:style w:type="numbering" w:customStyle="1" w:styleId="20">
    <w:name w:val="Стиль2"/>
    <w:uiPriority w:val="99"/>
    <w:qFormat/>
    <w:rsid w:val="009A2D79"/>
  </w:style>
  <w:style w:type="table" w:styleId="ad">
    <w:name w:val="Table Grid"/>
    <w:basedOn w:val="a1"/>
    <w:uiPriority w:val="39"/>
    <w:rsid w:val="00BA5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F6BB1-7AAB-4492-8908-B2C95374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17</Pages>
  <Words>6218</Words>
  <Characters>35443</Characters>
  <Application>Microsoft Office Word</Application>
  <DocSecurity>0</DocSecurity>
  <Lines>295</Lines>
  <Paragraphs>83</Paragraphs>
  <ScaleCrop>false</ScaleCrop>
  <Company/>
  <LinksUpToDate>false</LinksUpToDate>
  <CharactersWithSpaces>41578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dima_p</dc:creator>
  <dc:description/>
  <cp:lastModifiedBy>User</cp:lastModifiedBy>
  <cp:revision>34</cp:revision>
  <dcterms:created xsi:type="dcterms:W3CDTF">2020-10-14T06:14:00Z</dcterms:created>
  <dcterms:modified xsi:type="dcterms:W3CDTF">2024-03-19T10:51:00Z</dcterms:modified>
  <dc:language>ru-RU</dc:language>
</cp:coreProperties>
</file>