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2"/>
        <w:pBdr/>
        <w:spacing/>
        <w:ind/>
        <w:jc w:val="center"/>
        <w:rPr>
          <w:rFonts w:ascii="Times New Roman" w:hAnsi="Times New Roman" w:cs="Times New Roman"/>
          <w:b/>
          <w:bCs/>
          <w:sz w:val="22"/>
          <w:szCs w:val="22"/>
        </w:rPr>
      </w:pPr>
      <w:r>
        <w:rPr>
          <w:rFonts w:ascii="Times New Roman" w:hAnsi="Times New Roman" w:cs="Times New Roman"/>
          <w:b/>
          <w:sz w:val="22"/>
          <w:szCs w:val="22"/>
          <w:highlight w:val="none"/>
        </w:rPr>
      </w:r>
      <w:r>
        <w:rPr>
          <w:rFonts w:ascii="Times New Roman" w:hAnsi="Times New Roman" w:cs="Times New Roman"/>
          <w:b/>
          <w:sz w:val="22"/>
          <w:szCs w:val="22"/>
          <w:highlight w:val="none"/>
        </w:rPr>
      </w:r>
      <w:r>
        <w:rPr>
          <w:rFonts w:ascii="Times New Roman" w:hAnsi="Times New Roman" w:cs="Times New Roman"/>
          <w:b/>
          <w:bCs/>
          <w:sz w:val="22"/>
          <w:szCs w:val="22"/>
        </w:rPr>
      </w:r>
    </w:p>
    <w:p>
      <w:pPr>
        <w:pStyle w:val="972"/>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rPr>
        <w:t xml:space="preserve">Техническое задание </w:t>
      </w:r>
      <w:r>
        <w:rPr>
          <w:rFonts w:ascii="Times New Roman" w:hAnsi="Times New Roman" w:cs="Times New Roman"/>
          <w:b/>
          <w:sz w:val="22"/>
          <w:szCs w:val="22"/>
        </w:rPr>
      </w:r>
      <w:r>
        <w:rPr>
          <w:rFonts w:ascii="Times New Roman" w:hAnsi="Times New Roman" w:cs="Times New Roman"/>
          <w:b/>
          <w:bCs/>
          <w:sz w:val="22"/>
          <w:szCs w:val="22"/>
          <w:highlight w:val="none"/>
        </w:rPr>
      </w:r>
    </w:p>
    <w:p>
      <w:pPr>
        <w:pStyle w:val="972"/>
        <w:pBdr/>
        <w:spacing/>
        <w:ind/>
        <w:jc w:val="center"/>
        <w:rPr>
          <w:rFonts w:ascii="Times New Roman" w:hAnsi="Times New Roman" w:cs="Times New Roman"/>
          <w:b/>
          <w:sz w:val="22"/>
          <w:szCs w:val="22"/>
        </w:rPr>
      </w:pPr>
      <w:r>
        <w:rPr>
          <w:rFonts w:ascii="Times New Roman" w:hAnsi="Times New Roman" w:cs="Times New Roman"/>
          <w:b/>
          <w:sz w:val="22"/>
          <w:szCs w:val="22"/>
        </w:rPr>
        <w:t xml:space="preserve">на информационно-консультационное обслуживание программного продукта «Конфигурация для учреждений ФСИН для 1</w:t>
      </w:r>
      <w:r>
        <w:rPr>
          <w:rFonts w:ascii="Times New Roman" w:hAnsi="Times New Roman" w:cs="Times New Roman"/>
          <w:b/>
          <w:sz w:val="22"/>
          <w:szCs w:val="22"/>
        </w:rPr>
        <w:t xml:space="preserve">С:Предприятие</w:t>
      </w:r>
      <w:r>
        <w:rPr>
          <w:rFonts w:ascii="Times New Roman" w:hAnsi="Times New Roman" w:cs="Times New Roman"/>
          <w:b/>
          <w:sz w:val="22"/>
          <w:szCs w:val="22"/>
        </w:rPr>
        <w:t xml:space="preserve"> 8».</w:t>
      </w:r>
      <w:r>
        <w:rPr>
          <w:rFonts w:ascii="Times New Roman" w:hAnsi="Times New Roman" w:cs="Times New Roman"/>
          <w:b/>
          <w:sz w:val="22"/>
          <w:szCs w:val="22"/>
        </w:rPr>
      </w:r>
      <w:r>
        <w:rPr>
          <w:rFonts w:ascii="Times New Roman" w:hAnsi="Times New Roman" w:cs="Times New Roman"/>
          <w:b/>
          <w:sz w:val="22"/>
          <w:szCs w:val="22"/>
        </w:rPr>
      </w:r>
    </w:p>
    <w:p>
      <w:pPr>
        <w:pStyle w:val="972"/>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74"/>
        <w:numPr>
          <w:ilvl w:val="0"/>
          <w:numId w:val="35"/>
        </w:numPr>
        <w:pBdr/>
        <w:spacing w:line="216" w:lineRule="auto"/>
        <w:ind/>
        <w:jc w:val="center"/>
        <w:rPr>
          <w:rFonts w:ascii="Times New Roman" w:hAnsi="Times New Roman"/>
          <w:b/>
          <w:sz w:val="22"/>
          <w:szCs w:val="22"/>
        </w:rPr>
      </w:pPr>
      <w:r>
        <w:rPr>
          <w:rFonts w:ascii="Times New Roman" w:hAnsi="Times New Roman"/>
          <w:b/>
          <w:sz w:val="22"/>
          <w:szCs w:val="22"/>
        </w:rPr>
        <w:t xml:space="preserve">Качество и характеристика услуг:</w:t>
      </w:r>
      <w:r>
        <w:rPr>
          <w:rFonts w:ascii="Times New Roman" w:hAnsi="Times New Roman"/>
          <w:b/>
          <w:sz w:val="22"/>
          <w:szCs w:val="22"/>
        </w:rPr>
      </w:r>
      <w:r>
        <w:rPr>
          <w:rFonts w:ascii="Times New Roman" w:hAnsi="Times New Roman"/>
          <w:b/>
          <w:sz w:val="22"/>
          <w:szCs w:val="22"/>
        </w:rPr>
      </w:r>
    </w:p>
    <w:p>
      <w:pPr>
        <w:pStyle w:val="973"/>
        <w:pBdr/>
        <w:spacing/>
        <w:ind/>
        <w:jc w:val="both"/>
        <w:rPr>
          <w:sz w:val="22"/>
          <w:szCs w:val="22"/>
        </w:rPr>
      </w:pPr>
      <w:r>
        <w:rPr>
          <w:sz w:val="22"/>
          <w:szCs w:val="22"/>
        </w:rPr>
      </w:r>
      <w:r>
        <w:rPr>
          <w:sz w:val="22"/>
          <w:szCs w:val="22"/>
        </w:rPr>
      </w:r>
      <w:r>
        <w:rPr>
          <w:sz w:val="22"/>
          <w:szCs w:val="22"/>
        </w:rPr>
      </w:r>
    </w:p>
    <w:p>
      <w:pPr>
        <w:pBdr/>
        <w:spacing/>
        <w:ind/>
        <w:jc w:val="center"/>
        <w:rPr>
          <w:rFonts w:ascii="Times New Roman" w:hAnsi="Times New Roman" w:eastAsia="Calibri"/>
          <w:color w:val="0d0d0d"/>
          <w:sz w:val="22"/>
          <w:szCs w:val="22"/>
        </w:rPr>
      </w:pPr>
      <w:r>
        <w:rPr>
          <w:rFonts w:ascii="Times New Roman" w:hAnsi="Times New Roman" w:eastAsia="Calibri"/>
          <w:color w:val="0d0d0d"/>
          <w:sz w:val="22"/>
          <w:szCs w:val="22"/>
        </w:rPr>
        <w:t xml:space="preserve">Информационно-консультационное обслуживание программного продукта «Конфигурация для учреждений ФСИН для 1</w:t>
      </w:r>
      <w:r>
        <w:rPr>
          <w:rFonts w:ascii="Times New Roman" w:hAnsi="Times New Roman" w:eastAsia="Calibri"/>
          <w:color w:val="0d0d0d"/>
          <w:sz w:val="22"/>
          <w:szCs w:val="22"/>
        </w:rPr>
        <w:t xml:space="preserve">С:Предприятие</w:t>
      </w:r>
      <w:r>
        <w:rPr>
          <w:rFonts w:ascii="Times New Roman" w:hAnsi="Times New Roman" w:eastAsia="Calibri"/>
          <w:color w:val="0d0d0d"/>
          <w:sz w:val="22"/>
          <w:szCs w:val="22"/>
        </w:rPr>
        <w:t xml:space="preserve"> 8», ранее установленного на компьютере Заказчика, должно включать в  себя:</w:t>
      </w:r>
      <w:r>
        <w:rPr>
          <w:rFonts w:ascii="Times New Roman" w:hAnsi="Times New Roman" w:eastAsia="Calibri"/>
          <w:color w:val="0d0d0d"/>
          <w:sz w:val="22"/>
          <w:szCs w:val="22"/>
        </w:rPr>
      </w:r>
      <w:r>
        <w:rPr>
          <w:rFonts w:ascii="Times New Roman" w:hAnsi="Times New Roman" w:eastAsia="Calibri"/>
          <w:color w:val="0d0d0d"/>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быть предна</w:t>
      </w:r>
      <w:r>
        <w:rPr>
          <w:rFonts w:ascii="Times New Roman" w:hAnsi="Times New Roman"/>
          <w:sz w:val="22"/>
          <w:szCs w:val="22"/>
        </w:rPr>
        <w:t xml:space="preserve">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 ведение учета как одного учреждения, так и группы учреж</w:t>
      </w:r>
      <w:r>
        <w:rPr>
          <w:rFonts w:ascii="Times New Roman" w:hAnsi="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b/>
          <w:sz w:val="22"/>
          <w:szCs w:val="22"/>
        </w:rPr>
      </w:pPr>
      <w:r>
        <w:rPr>
          <w:rFonts w:ascii="Times New Roman" w:hAnsi="Times New Roman" w:eastAsia="Times New Roman"/>
          <w:sz w:val="22"/>
          <w:szCs w:val="22"/>
        </w:rPr>
        <w:t xml:space="preserve">Ведение учета казенных, бюджетных и автономных учреждений.</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431" w:left="788"/>
        <w:jc w:val="both"/>
        <w:rPr>
          <w:rFonts w:ascii="Times New Roman" w:hAnsi="Times New Roman"/>
          <w:b/>
          <w:sz w:val="22"/>
          <w:szCs w:val="22"/>
        </w:rPr>
      </w:pPr>
      <w:r>
        <w:rPr>
          <w:rFonts w:ascii="Times New Roman" w:hAnsi="Times New Roman" w:eastAsia="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Ведение обособленного учета по источникам финансового обеспечения.</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Обособленный учет операций по переданным полномочиям.</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r>
        <w:rPr>
          <w:rFonts w:ascii="Times New Roman" w:hAnsi="Times New Roman"/>
          <w:sz w:val="22"/>
          <w:szCs w:val="22"/>
        </w:rPr>
        <w:t xml:space="preserve">ФСИН  на</w:t>
      </w:r>
      <w:r>
        <w:rPr>
          <w:rFonts w:ascii="Times New Roman" w:hAnsi="Times New Roman"/>
          <w:sz w:val="22"/>
          <w:szCs w:val="22"/>
        </w:rPr>
        <w:t xml:space="preserve"> наличие ошибок и рекомендации по их исправлению;</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консультирование  по</w:t>
      </w:r>
      <w:r>
        <w:rPr>
          <w:rFonts w:ascii="Times New Roman" w:hAnsi="Times New Roman" w:eastAsia="Calibri"/>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методических материалов в электронном виде по участкам программного продукта;</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обучающих видео-роликов по </w:t>
      </w:r>
      <w:r>
        <w:rPr>
          <w:rFonts w:ascii="Times New Roman" w:hAnsi="Times New Roman" w:eastAsia="Calibri"/>
          <w:color w:val="0d0d0d"/>
          <w:sz w:val="22"/>
          <w:szCs w:val="22"/>
        </w:rPr>
        <w:t xml:space="preserve">участкам  программного</w:t>
      </w:r>
      <w:r>
        <w:rPr>
          <w:rFonts w:ascii="Times New Roman" w:hAnsi="Times New Roman" w:eastAsia="Calibri"/>
          <w:color w:val="0d0d0d"/>
          <w:sz w:val="22"/>
          <w:szCs w:val="22"/>
        </w:rPr>
        <w:t xml:space="preserve"> продукта;</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информации при выходе нового релиза о том, что нового появилось в программном продукте, что </w:t>
      </w:r>
      <w:r>
        <w:rPr>
          <w:rFonts w:ascii="Times New Roman" w:hAnsi="Times New Roman" w:eastAsia="Calibri"/>
          <w:color w:val="0d0d0d"/>
          <w:sz w:val="22"/>
          <w:szCs w:val="22"/>
        </w:rPr>
        <w:t xml:space="preserve">изменилось  в</w:t>
      </w:r>
      <w:r>
        <w:rPr>
          <w:rFonts w:ascii="Times New Roman" w:hAnsi="Times New Roman" w:eastAsia="Calibri"/>
          <w:color w:val="0d0d0d"/>
          <w:sz w:val="22"/>
          <w:szCs w:val="22"/>
        </w:rPr>
        <w:t xml:space="preserve"> виде электронного письма , а также отражением данной информации в самом программном продукте.</w:t>
      </w:r>
      <w:r>
        <w:rPr>
          <w:rFonts w:ascii="Times New Roman" w:hAnsi="Times New Roman"/>
          <w:b/>
          <w:sz w:val="22"/>
          <w:szCs w:val="22"/>
        </w:rPr>
      </w:r>
      <w:r>
        <w:rPr>
          <w:rFonts w:ascii="Times New Roman" w:hAnsi="Times New Roman"/>
          <w:b/>
          <w:sz w:val="22"/>
          <w:szCs w:val="22"/>
        </w:rPr>
      </w:r>
    </w:p>
    <w:p>
      <w:pPr>
        <w:pBdr/>
        <w:spacing/>
        <w:ind/>
        <w:jc w:val="both"/>
        <w:rPr>
          <w:rFonts w:ascii="Times New Roman" w:hAnsi="Times New Roman" w:eastAsia="Calibri"/>
          <w:color w:val="0d0d0d"/>
          <w:sz w:val="22"/>
          <w:szCs w:val="22"/>
        </w:rPr>
      </w:pPr>
      <w:r>
        <w:rPr>
          <w:rFonts w:ascii="Times New Roman" w:hAnsi="Times New Roman" w:eastAsia="Calibri"/>
          <w:color w:val="0d0d0d"/>
          <w:sz w:val="22"/>
          <w:szCs w:val="22"/>
        </w:rPr>
      </w:r>
      <w:r>
        <w:rPr>
          <w:rFonts w:ascii="Times New Roman" w:hAnsi="Times New Roman" w:eastAsia="Calibri"/>
          <w:color w:val="0d0d0d"/>
          <w:sz w:val="22"/>
          <w:szCs w:val="22"/>
        </w:rPr>
      </w:r>
      <w:r>
        <w:rPr>
          <w:rFonts w:ascii="Times New Roman" w:hAnsi="Times New Roman" w:eastAsia="Calibri"/>
          <w:color w:val="0d0d0d"/>
          <w:sz w:val="22"/>
          <w:szCs w:val="22"/>
        </w:rPr>
      </w:r>
    </w:p>
    <w:p>
      <w:pPr>
        <w:pBdr/>
        <w:tabs>
          <w:tab w:val="left" w:leader="none" w:pos="993"/>
        </w:tabs>
        <w:spacing/>
        <w:ind w:firstLine="567"/>
        <w:jc w:val="both"/>
        <w:rPr>
          <w:rFonts w:ascii="Times New Roman" w:hAnsi="Times New Roman" w:eastAsia="Calibri"/>
          <w:color w:val="000000"/>
          <w:sz w:val="22"/>
          <w:szCs w:val="22"/>
        </w:rPr>
      </w:pPr>
      <w:r>
        <w:rPr>
          <w:rFonts w:ascii="Times New Roman" w:hAnsi="Times New Roman" w:eastAsia="Calibri"/>
          <w:b/>
          <w:bCs/>
          <w:color w:val="000000"/>
          <w:sz w:val="22"/>
          <w:szCs w:val="22"/>
        </w:rPr>
        <w:t xml:space="preserve">Учет рабочего времени и выполненных работ</w:t>
      </w:r>
      <w:r>
        <w:rPr>
          <w:rFonts w:ascii="Times New Roman" w:hAnsi="Times New Roman" w:eastAsia="Calibri"/>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Calibri"/>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Calibri"/>
          <w:b/>
          <w:color w:val="000000"/>
          <w:sz w:val="22"/>
          <w:szCs w:val="22"/>
        </w:rPr>
        <w:t xml:space="preserve">(поминутная тарификация)</w:t>
      </w:r>
      <w:r>
        <w:rPr>
          <w:rFonts w:ascii="Times New Roman" w:hAnsi="Times New Roman" w:eastAsia="Calibri"/>
          <w:color w:val="000000"/>
          <w:sz w:val="22"/>
          <w:szCs w:val="22"/>
        </w:rPr>
        <w:t xml:space="preserve">, оказанных данным специалистом Исполнителя за указанное в ЛУР</w:t>
      </w:r>
      <w:r>
        <w:rPr>
          <w:rFonts w:ascii="Times New Roman" w:hAnsi="Times New Roman" w:eastAsia="Calibri"/>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567"/>
        <w:jc w:val="both"/>
        <w:rPr>
          <w:rFonts w:ascii="Times New Roman" w:hAnsi="Times New Roman" w:eastAsia="Calibri"/>
          <w:color w:val="0d0d0d"/>
          <w:sz w:val="22"/>
          <w:szCs w:val="22"/>
        </w:rPr>
      </w:pPr>
      <w:r>
        <w:rPr>
          <w:rFonts w:ascii="Times New Roman" w:hAnsi="Times New Roman"/>
          <w:sz w:val="22"/>
          <w:szCs w:val="22"/>
        </w:rPr>
        <w:t xml:space="preserve">Информационно-консультационное обслуживание программного продукта «Конфигурация для учреждений ФСИН для 1</w:t>
      </w:r>
      <w:r>
        <w:rPr>
          <w:rFonts w:ascii="Times New Roman" w:hAnsi="Times New Roman"/>
          <w:sz w:val="22"/>
          <w:szCs w:val="22"/>
        </w:rPr>
        <w:t xml:space="preserve">С:Предприятие</w:t>
      </w:r>
      <w:r>
        <w:rPr>
          <w:rFonts w:ascii="Times New Roman" w:hAnsi="Times New Roman"/>
          <w:sz w:val="22"/>
          <w:szCs w:val="22"/>
        </w:rPr>
        <w:t xml:space="preserve"> 8» должно проводиться по следующим участкам, входящих в состав программного продукта, ранее установленного на компьютере Заказчика:</w:t>
      </w:r>
      <w:r>
        <w:rPr>
          <w:rFonts w:ascii="Times New Roman" w:hAnsi="Times New Roman" w:eastAsia="Calibri"/>
          <w:color w:val="0d0d0d"/>
          <w:sz w:val="22"/>
          <w:szCs w:val="22"/>
        </w:rPr>
      </w:r>
      <w:r>
        <w:rPr>
          <w:rFonts w:ascii="Times New Roman" w:hAnsi="Times New Roman" w:eastAsia="Calibri"/>
          <w:color w:val="0d0d0d"/>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Ind w:w="113" w:type="dxa"/>
        <w:tblW w:w="9345" w:type="dxa"/>
        <w:tblBorders/>
        <w:tblLayout w:type="fixed"/>
        <w:tblLook w:val="04A0" w:firstRow="1" w:lastRow="0" w:firstColumn="1" w:lastColumn="0" w:noHBand="0" w:noVBand="1"/>
        <w:tblStyle w:val="976"/>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4"/>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4"/>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w:t>
            </w:r>
            <w:r>
              <w:rPr>
                <w:rFonts w:ascii="Times New Roman" w:hAnsi="Times New Roman" w:eastAsia="Times New Roman"/>
                <w:color w:val="000000"/>
                <w:sz w:val="22"/>
                <w:szCs w:val="22"/>
                <w:shd w:val="clear" w:color="auto" w:fill="ffffff"/>
              </w:rPr>
              <w:t xml:space="preserve">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74"/>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72"/>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w:t>
            </w:r>
            <w:r>
              <w:rPr>
                <w:rFonts w:ascii="Times New Roman" w:hAnsi="Times New Roman" w:eastAsia="Times New Roman"/>
                <w:color w:val="000000"/>
                <w:sz w:val="22"/>
                <w:szCs w:val="22"/>
                <w:shd w:val="clear" w:color="auto" w:fill="ffffff"/>
              </w:rPr>
              <w:t xml:space="preserve">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w:t>
            </w:r>
            <w:r>
              <w:rPr>
                <w:rFonts w:ascii="Times New Roman" w:hAnsi="Times New Roman"/>
                <w:sz w:val="22"/>
                <w:szCs w:val="22"/>
              </w:rPr>
              <w:t xml:space="preserve">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w:t>
            </w:r>
            <w:r>
              <w:rPr>
                <w:rFonts w:ascii="Times New Roman" w:hAnsi="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4"/>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4"/>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74"/>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w:t>
            </w:r>
            <w:r>
              <w:rPr>
                <w:rFonts w:ascii="Times New Roman" w:hAnsi="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w:t>
            </w:r>
            <w:r>
              <w:rPr>
                <w:rFonts w:ascii="Times New Roman" w:hAnsi="Times New Roman" w:eastAsia="Times New Roman"/>
                <w:color w:val="000000"/>
                <w:sz w:val="22"/>
                <w:szCs w:val="22"/>
                <w:shd w:val="clear" w:color="auto" w:fill="ffffff"/>
              </w:rPr>
              <w:t xml:space="preserve">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4"/>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74"/>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74"/>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w:t>
            </w:r>
            <w:r>
              <w:rPr>
                <w:rFonts w:ascii="Times New Roman" w:hAnsi="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74"/>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74"/>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w:t>
            </w:r>
            <w:r>
              <w:rPr>
                <w:rFonts w:ascii="Times New Roman" w:hAnsi="Times New Roman"/>
                <w:sz w:val="22"/>
                <w:szCs w:val="22"/>
              </w:rPr>
              <w:t xml:space="preserve">отдельным документом,</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74"/>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74"/>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74"/>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74"/>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w:t>
            </w:r>
            <w:r>
              <w:rPr>
                <w:rFonts w:ascii="Times New Roman" w:hAnsi="Times New Roman"/>
                <w:sz w:val="22"/>
                <w:szCs w:val="22"/>
              </w:rPr>
              <w:t xml:space="preserve">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74"/>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74"/>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7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7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7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74"/>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73"/>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73"/>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73"/>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73"/>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73"/>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73"/>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73"/>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73"/>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доходов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7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7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7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r>
              <w:rPr>
                <w:rFonts w:ascii="Times New Roman" w:hAnsi="Times New Roman" w:eastAsia="Tahoma"/>
                <w:color w:val="000000"/>
                <w:sz w:val="22"/>
                <w:szCs w:val="22"/>
                <w:shd w:val="clear" w:color="auto" w:fill="ffffff"/>
              </w:rPr>
              <w:t xml:space="preserve">Дт</w:t>
            </w:r>
            <w:r>
              <w:rPr>
                <w:rFonts w:ascii="Times New Roman" w:hAnsi="Times New Roman" w:eastAsia="Tahoma"/>
                <w:color w:val="000000"/>
                <w:sz w:val="22"/>
                <w:szCs w:val="22"/>
                <w:shd w:val="clear" w:color="auto" w:fill="ffffff"/>
              </w:rPr>
              <w:t xml:space="preserve"> 205 </w:t>
            </w:r>
            <w:r>
              <w:rPr>
                <w:rFonts w:ascii="Times New Roman" w:hAnsi="Times New Roman" w:eastAsia="Tahoma"/>
                <w:color w:val="000000"/>
                <w:sz w:val="22"/>
                <w:szCs w:val="22"/>
                <w:shd w:val="clear" w:color="auto" w:fill="ffffff"/>
              </w:rPr>
              <w:t xml:space="preserve">Кт</w:t>
            </w:r>
            <w:r>
              <w:rPr>
                <w:rFonts w:ascii="Times New Roman" w:hAnsi="Times New Roman" w:eastAsia="Tahoma"/>
                <w:color w:val="000000"/>
                <w:sz w:val="22"/>
                <w:szCs w:val="22"/>
                <w:shd w:val="clear" w:color="auto" w:fill="ffffff"/>
              </w:rPr>
              <w:t xml:space="preserve"> 304.04),</w:t>
            </w:r>
            <w:r>
              <w:rPr>
                <w:rFonts w:ascii="Times New Roman" w:hAnsi="Times New Roman"/>
                <w:sz w:val="22"/>
                <w:szCs w:val="22"/>
              </w:rPr>
            </w:r>
            <w:r>
              <w:rPr>
                <w:rFonts w:ascii="Times New Roman" w:hAnsi="Times New Roman"/>
                <w:sz w:val="22"/>
                <w:szCs w:val="22"/>
              </w:rPr>
            </w:r>
          </w:p>
          <w:p>
            <w:pPr>
              <w:pStyle w:val="97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Style w:val="973"/>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4"/>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4"/>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w:t>
            </w:r>
            <w:r>
              <w:rPr>
                <w:rFonts w:ascii="Times New Roman" w:hAnsi="Times New Roman" w:eastAsia="Times New Roman"/>
                <w:sz w:val="22"/>
                <w:szCs w:val="22"/>
                <w:lang w:eastAsia="ru-RU"/>
              </w:rPr>
              <w:t xml:space="preserve">многофирменный</w:t>
            </w:r>
            <w:r>
              <w:rPr>
                <w:rFonts w:ascii="Times New Roman" w:hAnsi="Times New Roman" w:eastAsia="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w:t>
            </w:r>
            <w:r>
              <w:rPr>
                <w:rFonts w:ascii="Times New Roman" w:hAnsi="Times New Roman" w:eastAsia="Times New Roman"/>
                <w:sz w:val="22"/>
                <w:szCs w:val="22"/>
                <w:lang w:eastAsia="ru-RU"/>
              </w:rPr>
              <w:t xml:space="preserve">налогов;</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7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lang w:eastAsia="ru-RU"/>
              </w:rPr>
            </w:r>
            <w:r>
              <w:rPr>
                <w:rFonts w:ascii="Times New Roman" w:hAnsi="Times New Roman" w:eastAsia="Times New Roman"/>
                <w:sz w:val="22"/>
                <w:szCs w:val="22"/>
              </w:rPr>
            </w:r>
          </w:p>
          <w:p>
            <w:pPr>
              <w:numPr>
                <w:ilvl w:val="0"/>
                <w:numId w:val="17"/>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lang w:eastAsia="ru-RU"/>
              </w:rPr>
            </w:r>
            <w:r>
              <w:rPr>
                <w:rFonts w:ascii="Times New Roman" w:hAnsi="Times New Roman" w:eastAsia="Times New Roman"/>
                <w:sz w:val="22"/>
                <w:szCs w:val="22"/>
              </w:rPr>
            </w:r>
          </w:p>
          <w:p>
            <w:pPr>
              <w:numPr>
                <w:ilvl w:val="0"/>
                <w:numId w:val="17"/>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lang w:eastAsia="ru-RU"/>
              </w:rPr>
            </w:r>
            <w:r>
              <w:rPr>
                <w:rFonts w:ascii="Times New Roman" w:hAnsi="Times New Roman" w:eastAsia="Times New Roman"/>
                <w:sz w:val="22"/>
                <w:szCs w:val="22"/>
              </w:rPr>
            </w:r>
          </w:p>
          <w:p>
            <w:pPr>
              <w:numPr>
                <w:ilvl w:val="0"/>
                <w:numId w:val="17"/>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lang w:eastAsia="ru-RU"/>
              </w:rPr>
            </w:r>
            <w:r>
              <w:rPr>
                <w:rFonts w:ascii="Times New Roman" w:hAnsi="Times New Roman" w:eastAsia="Times New Roman"/>
                <w:sz w:val="22"/>
                <w:szCs w:val="22"/>
              </w:rPr>
            </w:r>
          </w:p>
          <w:p>
            <w:pPr>
              <w:numPr>
                <w:ilvl w:val="0"/>
                <w:numId w:val="17"/>
              </w:numPr>
              <w:pBdr/>
              <w:spacing w:afterAutospacing="1"/>
              <w:ind/>
              <w:rPr>
                <w:rFonts w:ascii="Tahoma" w:hAnsi="Tahoma" w:eastAsia="Times New Roman" w:cs="Tahoma"/>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ahoma" w:hAnsi="Tahoma" w:eastAsia="Times New Roman" w:cs="Tahoma"/>
                <w:color w:val="333333"/>
                <w:sz w:val="22"/>
                <w:szCs w:val="22"/>
                <w:lang w:eastAsia="ru-RU"/>
              </w:rPr>
            </w:r>
            <w:r>
              <w:rPr>
                <w:rFonts w:ascii="Tahoma" w:hAnsi="Tahoma" w:eastAsia="Times New Roman" w:cs="Tahoma"/>
                <w:color w:val="333333"/>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lang w:eastAsia="ru-RU"/>
              </w:rPr>
            </w:r>
            <w:r>
              <w:rPr>
                <w:rFonts w:ascii="Times New Roman" w:hAnsi="Times New Roman" w:eastAsia="Times New Roman" w:cs="Times New Roman"/>
                <w:color w:val="003399"/>
                <w:sz w:val="22"/>
                <w:szCs w:val="22"/>
              </w:rPr>
            </w:r>
          </w:p>
        </w:tc>
        <w:tc>
          <w:tcPr>
            <w:tcBorders/>
            <w:tcW w:w="6375" w:type="dxa"/>
            <w:textDirection w:val="lrTb"/>
            <w:noWrap w:val="false"/>
          </w:tcPr>
          <w:p>
            <w:pPr>
              <w:pBdr/>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 предоставленными государственному (муниципальному) учреждению (ф. 0501016) в </w:t>
            </w:r>
            <w:r>
              <w:rPr>
                <w:rFonts w:ascii="Times New Roman" w:hAnsi="Times New Roman" w:eastAsia="Times New Roman"/>
                <w:color w:val="000000"/>
                <w:sz w:val="22"/>
                <w:szCs w:val="22"/>
                <w:lang w:eastAsia="ru-RU"/>
              </w:rPr>
              <w:t xml:space="preserve">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18"/>
              </w:numPr>
              <w:pBdr/>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19"/>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lang w:eastAsia="ru-RU"/>
              </w:rPr>
            </w:r>
            <w:r>
              <w:rPr>
                <w:rFonts w:ascii="Times New Roman" w:hAnsi="Times New Roman" w:eastAsia="Times New Roman"/>
                <w:sz w:val="22"/>
                <w:szCs w:val="22"/>
              </w:rPr>
            </w:r>
          </w:p>
          <w:p>
            <w:p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w:t>
            </w:r>
            <w:r>
              <w:rPr>
                <w:rFonts w:ascii="Times New Roman" w:hAnsi="Times New Roman" w:eastAsia="Times New Roman"/>
                <w:sz w:val="22"/>
                <w:szCs w:val="22"/>
                <w:lang w:eastAsia="ru-RU"/>
              </w:rPr>
              <w:t xml:space="preserve">средствами № 2 (ф. 0504071).</w:t>
            </w:r>
            <w:r>
              <w:rPr>
                <w:rFonts w:ascii="Times New Roman" w:hAnsi="Times New Roman" w:eastAsia="Times New Roman"/>
                <w:sz w:val="22"/>
                <w:szCs w:val="22"/>
                <w:lang w:eastAsia="ru-RU"/>
              </w:rPr>
            </w:r>
            <w:r>
              <w:rPr>
                <w:rFonts w:ascii="Times New Roman" w:hAnsi="Times New Roman" w:eastAsia="Times New Roman"/>
                <w:sz w:val="22"/>
                <w:szCs w:val="22"/>
              </w:rPr>
            </w:r>
          </w:p>
          <w:p>
            <w:p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0"/>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0"/>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0"/>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0"/>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0"/>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lang w:eastAsia="ru-RU"/>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7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w:t>
            </w:r>
            <w:r>
              <w:rPr>
                <w:rFonts w:ascii="Times New Roman" w:hAnsi="Times New Roman" w:eastAsia="Times New Roman"/>
                <w:color w:val="000000"/>
                <w:sz w:val="22"/>
                <w:szCs w:val="22"/>
                <w:lang w:eastAsia="ru-RU"/>
              </w:rPr>
              <w:t xml:space="preserve">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7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7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7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74"/>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74"/>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7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r>
              <w:rPr>
                <w:rFonts w:ascii="Times New Roman" w:hAnsi="Times New Roman" w:eastAsia="Times New Roman"/>
                <w:color w:val="000000"/>
                <w:sz w:val="22"/>
                <w:szCs w:val="22"/>
                <w:lang w:eastAsia="ru-RU"/>
              </w:rPr>
              <w:t xml:space="preserve">неучастников</w:t>
            </w:r>
            <w:r>
              <w:rPr>
                <w:rFonts w:ascii="Times New Roman" w:hAnsi="Times New Roman" w:eastAsia="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7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w:t>
            </w:r>
            <w:r>
              <w:rPr>
                <w:rFonts w:ascii="Times New Roman" w:hAnsi="Times New Roman" w:eastAsia="Times New Roman"/>
                <w:color w:val="000000"/>
                <w:sz w:val="22"/>
                <w:szCs w:val="22"/>
                <w:lang w:eastAsia="ru-RU"/>
              </w:rPr>
              <w:t xml:space="preserve">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7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7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lang w:eastAsia="ru-RU"/>
              </w:rPr>
            </w:r>
            <w:r>
              <w:rPr>
                <w:rFonts w:ascii="Times New Roman" w:hAnsi="Times New Roman" w:eastAsia="Times New Roman" w:cs="Times New Roman"/>
                <w:color w:val="003399"/>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w:t>
            </w:r>
            <w:r>
              <w:rPr>
                <w:rFonts w:ascii="Times New Roman" w:hAnsi="Times New Roman" w:eastAsia="Times New Roman"/>
                <w:sz w:val="22"/>
                <w:szCs w:val="22"/>
                <w:lang w:eastAsia="ru-RU"/>
              </w:rPr>
              <w:t xml:space="preserve">руб. до 40 000 руб. включительно.</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7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поставщиками и подрядчиками в зависимости от очередности расчетов – </w:t>
            </w:r>
            <w:r>
              <w:rPr>
                <w:rFonts w:ascii="Times New Roman" w:hAnsi="Times New Roman" w:eastAsia="Times New Roman"/>
                <w:sz w:val="22"/>
                <w:szCs w:val="22"/>
                <w:lang w:eastAsia="ru-RU"/>
              </w:rPr>
              <w:t xml:space="preserve">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6"/>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6"/>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6"/>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6"/>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6"/>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 дебиторской задолженности </w:t>
            </w:r>
            <w:r>
              <w:rPr>
                <w:rFonts w:ascii="Times New Roman" w:hAnsi="Times New Roman" w:eastAsia="Times New Roman"/>
                <w:color w:val="000000"/>
                <w:sz w:val="22"/>
                <w:szCs w:val="22"/>
                <w:lang w:eastAsia="ru-RU"/>
              </w:rPr>
              <w:t xml:space="preserve">по оказанным учреждением</w:t>
            </w:r>
            <w:r>
              <w:rPr>
                <w:rFonts w:ascii="Times New Roman" w:hAnsi="Times New Roman" w:eastAsia="Times New Roman"/>
                <w:color w:val="000000"/>
                <w:sz w:val="22"/>
                <w:szCs w:val="22"/>
                <w:lang w:eastAsia="ru-RU"/>
              </w:rPr>
              <w:t xml:space="preserve">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7"/>
              </w:numPr>
              <w:pBdr/>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Verdana" w:hAnsi="Verdana" w:eastAsia="Times New Roman"/>
                <w:color w:val="000000"/>
                <w:sz w:val="22"/>
                <w:szCs w:val="22"/>
                <w:lang w:eastAsia="ru-RU"/>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4"/>
              <w:numPr>
                <w:ilvl w:val="0"/>
                <w:numId w:val="28"/>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8"/>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8"/>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8"/>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lang w:eastAsia="ru-RU"/>
              </w:rPr>
            </w:r>
            <w:r>
              <w:rPr>
                <w:rFonts w:ascii="Times New Roman" w:hAnsi="Times New Roman" w:eastAsia="Times New Roman"/>
                <w:sz w:val="22"/>
                <w:szCs w:val="22"/>
              </w:rPr>
            </w:r>
          </w:p>
          <w:p>
            <w:pPr>
              <w:pStyle w:val="974"/>
              <w:numPr>
                <w:ilvl w:val="0"/>
                <w:numId w:val="28"/>
              </w:numPr>
              <w:pBdr/>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w:t>
            </w:r>
            <w:r>
              <w:rPr>
                <w:rFonts w:ascii="Times New Roman" w:hAnsi="Times New Roman" w:eastAsia="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lang w:eastAsia="ru-RU"/>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9"/>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9"/>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9"/>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9"/>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29"/>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olor w:val="000000"/>
                <w:sz w:val="22"/>
                <w:szCs w:val="22"/>
                <w:lang w:eastAsia="ru-RU"/>
              </w:rPr>
              <w:t xml:space="preserve">", для того, чтобы</w:t>
            </w:r>
            <w:r>
              <w:rPr>
                <w:rFonts w:ascii="Times New Roman" w:hAnsi="Times New Roman" w:eastAsia="Times New Roman"/>
                <w:color w:val="000000"/>
                <w:sz w:val="22"/>
                <w:szCs w:val="22"/>
                <w:lang w:eastAsia="ru-RU"/>
              </w:rPr>
              <w:t xml:space="preserve"> можно было:</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0"/>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0"/>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w:t>
            </w:r>
            <w:r>
              <w:rPr>
                <w:rFonts w:ascii="Times New Roman" w:hAnsi="Times New Roman" w:eastAsia="Times New Roman"/>
                <w:color w:val="000000"/>
                <w:sz w:val="22"/>
                <w:szCs w:val="22"/>
                <w:lang w:eastAsia="ru-RU"/>
              </w:rPr>
              <w:t xml:space="preserve">учета:</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0"/>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0"/>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0"/>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Verdana" w:hAnsi="Verdana" w:eastAsia="Times New Roman"/>
                <w:color w:val="000000"/>
                <w:sz w:val="22"/>
                <w:szCs w:val="22"/>
                <w:lang w:eastAsia="ru-RU"/>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lang w:eastAsia="ru-RU"/>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1"/>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2"/>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2"/>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2"/>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2"/>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p>
            <w:pPr>
              <w:pStyle w:val="974"/>
              <w:numPr>
                <w:ilvl w:val="0"/>
                <w:numId w:val="32"/>
              </w:numPr>
              <w:pBdr/>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lang w:eastAsia="ru-RU"/>
              </w:rPr>
            </w:r>
            <w:r>
              <w:rPr>
                <w:rFonts w:ascii="Times New Roman" w:hAnsi="Times New Roman" w:eastAsia="Times New Roman"/>
                <w:color w:val="000000"/>
                <w:sz w:val="22"/>
                <w:szCs w:val="22"/>
              </w:rPr>
            </w:r>
          </w:p>
        </w:tc>
      </w:tr>
    </w:tbl>
    <w:p>
      <w:pPr>
        <w:pBdr/>
        <w:spacing w:after="113"/>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4"/>
        <w:numPr>
          <w:ilvl w:val="0"/>
          <w:numId w:val="33"/>
        </w:numPr>
        <w:pBdr/>
        <w:spacing w:after="113"/>
        <w:ind/>
        <w:jc w:val="center"/>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74"/>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4"/>
        <w:pBdr/>
        <w:spacing w:after="113"/>
        <w:ind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74"/>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74"/>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74"/>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Версия 3.5».</w:t>
      </w:r>
      <w:r>
        <w:rPr>
          <w:rFonts w:ascii="Times New Roman" w:hAnsi="Times New Roman"/>
          <w:b/>
          <w:sz w:val="22"/>
          <w:szCs w:val="22"/>
        </w:rPr>
      </w:r>
      <w:r>
        <w:rPr>
          <w:rFonts w:ascii="Times New Roman" w:hAnsi="Times New Roman"/>
          <w:b/>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left="1436"/>
        <w:jc w:val="both"/>
        <w:rPr>
          <w:rFonts w:ascii="Times New Roman" w:hAnsi="Times New Roman" w:eastAsia="Calibri"/>
          <w:color w:val="000000"/>
          <w:sz w:val="22"/>
          <w:szCs w:val="22"/>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t xml:space="preserve">Отсутствие в реестре недобросовестных поставщиков.</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b/>
          <w:bCs/>
          <w:sz w:val="22"/>
          <w:szCs w:val="22"/>
        </w:rPr>
        <w:t xml:space="preserve">Объем оказываемых услуг:</w:t>
      </w:r>
      <w:r>
        <w:rPr>
          <w:rFonts w:ascii="Times New Roman" w:hAnsi="Times New Roman"/>
          <w:bCs/>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b/>
          <w:bCs/>
          <w:sz w:val="22"/>
          <w:szCs w:val="22"/>
        </w:rPr>
        <w:t xml:space="preserve">Стоимость 1 часа оказываемых услуг:</w:t>
      </w:r>
      <w:r>
        <w:rPr>
          <w:rFonts w:ascii="Times New Roman" w:hAnsi="Times New Roman"/>
          <w:bCs/>
          <w:sz w:val="22"/>
          <w:szCs w:val="22"/>
        </w:rPr>
        <w:t xml:space="preserve"> </w:t>
      </w:r>
      <w:r>
        <w:rPr>
          <w:rFonts w:ascii="Times New Roman" w:hAnsi="Times New Roman" w:eastAsia="Times New Roman" w:cs="Times New Roman"/>
          <w:bCs/>
          <w:sz w:val="22"/>
          <w:szCs w:val="22"/>
          <w:highlight w:val="yellow"/>
        </w:rPr>
        <w:t xml:space="preserve">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t xml:space="preserve">Срок оказания услуг</w:t>
      </w:r>
      <w:r>
        <w:rPr>
          <w:rFonts w:ascii="Times New Roman" w:hAnsi="Times New Roman"/>
          <w:sz w:val="22"/>
          <w:szCs w:val="22"/>
        </w:rPr>
        <w:t xml:space="preserve">: После</w:t>
      </w:r>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Ind w:w="108" w:type="dxa"/>
        <w:tblW w:w="9345" w:type="dxa"/>
        <w:tblBorders/>
        <w:tblLayout w:type="fixed"/>
        <w:tblLook w:val="04A0" w:firstRow="1" w:lastRow="0" w:firstColumn="1" w:lastColumn="0" w:noHBand="0" w:noVBand="1"/>
        <w:tblStyle w:val="976"/>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w:t>
            </w:r>
            <w:r>
              <w:rPr>
                <w:rFonts w:ascii="Times New Roman" w:hAnsi="Times New Roman"/>
                <w:sz w:val="22"/>
                <w:szCs w:val="22"/>
              </w:rPr>
              <w:t xml:space="preserve">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3"/>
        <w:pBdr/>
        <w:spacing/>
        <w:ind/>
        <w:jc w:val="both"/>
        <w:rPr>
          <w:sz w:val="22"/>
          <w:szCs w:val="22"/>
        </w:rPr>
      </w:pPr>
      <w:r>
        <w:rPr>
          <w:sz w:val="22"/>
          <w:szCs w:val="22"/>
        </w:rPr>
      </w:r>
      <w:r>
        <w:rPr>
          <w:sz w:val="22"/>
          <w:szCs w:val="22"/>
        </w:rPr>
      </w:r>
      <w:r>
        <w:rPr>
          <w:sz w:val="22"/>
          <w:szCs w:val="22"/>
        </w:rPr>
      </w:r>
    </w:p>
    <w:p>
      <w:pPr>
        <w:pStyle w:val="97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3"/>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3"/>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3"/>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76"/>
      </w:tblPr>
      <w:tblGrid>
        <w:gridCol w:w="567"/>
        <w:gridCol w:w="2267"/>
        <w:gridCol w:w="1134"/>
        <w:gridCol w:w="1984"/>
        <w:gridCol w:w="2126"/>
        <w:gridCol w:w="1276"/>
      </w:tblGrid>
      <w:tr>
        <w:trPr/>
        <w:tc>
          <w:tcPr>
            <w:tcBorders/>
            <w:tcW w:w="567"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267"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134"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984"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126"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024"/>
        </w:trPr>
        <w:tc>
          <w:tcPr>
            <w:tcBorders/>
            <w:tcW w:w="567" w:type="dxa"/>
            <w:vMerge w:val="restart"/>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267" w:type="dxa"/>
            <w:vMerge w:val="restart"/>
            <w:textDirection w:val="lrTb"/>
            <w:noWrap w:val="false"/>
          </w:tcPr>
          <w:p>
            <w:pPr>
              <w:pStyle w:val="955"/>
              <w:pBdr/>
              <w:tabs>
                <w:tab w:val="left" w:leader="none" w:pos="993"/>
              </w:tabs>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rPr>
            </w:r>
            <w:r>
              <w:rPr>
                <w:rFonts w:ascii="Times New Roman" w:hAnsi="Times New Roman" w:cs="Times New Roman"/>
                <w:sz w:val="22"/>
                <w:szCs w:val="22"/>
              </w:rPr>
            </w:r>
          </w:p>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134" w:type="dxa"/>
            <w:vMerge w:val="restart"/>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984" w:type="dxa"/>
            <w:vMerge w:val="restart"/>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126" w:type="dxa"/>
            <w:vMerge w:val="restart"/>
            <w:textDirection w:val="lrTb"/>
            <w:noWrap w:val="false"/>
          </w:tcPr>
          <w:p>
            <w:pPr>
              <w:pStyle w:val="97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 </w:t>
            </w:r>
            <w:r>
              <w:rPr>
                <w:rFonts w:ascii="Times New Roman" w:hAnsi="Times New Roman" w:cs="Times New Roman"/>
                <w:sz w:val="22"/>
                <w:szCs w:val="22"/>
                <w:highlight w:val="none"/>
              </w:rPr>
            </w:r>
          </w:p>
          <w:p>
            <w:pPr>
              <w:pStyle w:val="97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p>
        </w:tc>
        <w:tc>
          <w:tcPr>
            <w:tcBorders/>
            <w:tcW w:w="1276" w:type="dxa"/>
            <w:vMerge w:val="restart"/>
            <w:textDirection w:val="lrTb"/>
            <w:noWrap w:val="false"/>
          </w:tcPr>
          <w:p>
            <w:pPr>
              <w:pStyle w:val="97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3"/>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78"/>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78"/>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7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3"/>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Verdana">
    <w:panose1 w:val="020B060403050404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16"/>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8"/>
  </w:num>
  <w:num w:numId="2">
    <w:abstractNumId w:val="30"/>
  </w:num>
  <w:num w:numId="3">
    <w:abstractNumId w:val="12"/>
  </w:num>
  <w:num w:numId="4">
    <w:abstractNumId w:val="26"/>
  </w:num>
  <w:num w:numId="5">
    <w:abstractNumId w:val="4"/>
  </w:num>
  <w:num w:numId="6">
    <w:abstractNumId w:val="35"/>
  </w:num>
  <w:num w:numId="7">
    <w:abstractNumId w:val="34"/>
  </w:num>
  <w:num w:numId="8">
    <w:abstractNumId w:val="31"/>
  </w:num>
  <w:num w:numId="9">
    <w:abstractNumId w:val="20"/>
  </w:num>
  <w:num w:numId="10">
    <w:abstractNumId w:val="28"/>
  </w:num>
  <w:num w:numId="11">
    <w:abstractNumId w:val="7"/>
  </w:num>
  <w:num w:numId="12">
    <w:abstractNumId w:val="10"/>
  </w:num>
  <w:num w:numId="13">
    <w:abstractNumId w:val="24"/>
  </w:num>
  <w:num w:numId="14">
    <w:abstractNumId w:val="21"/>
  </w:num>
  <w:num w:numId="15">
    <w:abstractNumId w:val="32"/>
  </w:num>
  <w:num w:numId="16">
    <w:abstractNumId w:val="17"/>
  </w:num>
  <w:num w:numId="17">
    <w:abstractNumId w:val="29"/>
  </w:num>
  <w:num w:numId="18">
    <w:abstractNumId w:val="23"/>
  </w:num>
  <w:num w:numId="19">
    <w:abstractNumId w:val="2"/>
  </w:num>
  <w:num w:numId="20">
    <w:abstractNumId w:val="0"/>
  </w:num>
  <w:num w:numId="21">
    <w:abstractNumId w:val="9"/>
  </w:num>
  <w:num w:numId="22">
    <w:abstractNumId w:val="6"/>
  </w:num>
  <w:num w:numId="23">
    <w:abstractNumId w:val="1"/>
  </w:num>
  <w:num w:numId="24">
    <w:abstractNumId w:val="27"/>
  </w:num>
  <w:num w:numId="25">
    <w:abstractNumId w:val="5"/>
  </w:num>
  <w:num w:numId="26">
    <w:abstractNumId w:val="18"/>
  </w:num>
  <w:num w:numId="27">
    <w:abstractNumId w:val="33"/>
  </w:num>
  <w:num w:numId="28">
    <w:abstractNumId w:val="13"/>
  </w:num>
  <w:num w:numId="29">
    <w:abstractNumId w:val="16"/>
  </w:num>
  <w:num w:numId="30">
    <w:abstractNumId w:val="3"/>
  </w:num>
  <w:num w:numId="31">
    <w:abstractNumId w:val="11"/>
  </w:num>
  <w:num w:numId="32">
    <w:abstractNumId w:val="15"/>
  </w:num>
  <w:num w:numId="33">
    <w:abstractNumId w:val="25"/>
  </w:num>
  <w:num w:numId="34">
    <w:abstractNumId w:val="14"/>
  </w:num>
  <w:num w:numId="35">
    <w:abstractNumId w:val="19"/>
  </w:num>
  <w:num w:numId="36">
    <w:abstractNumId w:val="2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6"/>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Light"/>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Plain Table 1"/>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2"/>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3"/>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4"/>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5"/>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1 Light"/>
    <w:basedOn w:val="95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 Accent 1"/>
    <w:basedOn w:val="9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2"/>
    <w:basedOn w:val="9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3"/>
    <w:basedOn w:val="9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4"/>
    <w:basedOn w:val="9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5"/>
    <w:basedOn w:val="9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6"/>
    <w:basedOn w:val="9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2"/>
    <w:basedOn w:val="9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 Accent 1"/>
    <w:basedOn w:val="9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5"/>
    <w:basedOn w:val="9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6"/>
    <w:basedOn w:val="9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3"/>
    <w:basedOn w:val="9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 Accent 1"/>
    <w:basedOn w:val="9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5"/>
    <w:basedOn w:val="9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6"/>
    <w:basedOn w:val="9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4"/>
    <w:basedOn w:val="95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 Accent 1"/>
    <w:basedOn w:val="95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2"/>
    <w:basedOn w:val="95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3"/>
    <w:basedOn w:val="95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4"/>
    <w:basedOn w:val="95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5"/>
    <w:basedOn w:val="95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6"/>
    <w:basedOn w:val="95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5 Dark"/>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Accent 1"/>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 Accent 2"/>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3"/>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Accent 4"/>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5"/>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6"/>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6 Colorful"/>
    <w:basedOn w:val="95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7">
    <w:name w:val="Grid Table 6 Colorful - Accent 1"/>
    <w:basedOn w:val="95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8">
    <w:name w:val="Grid Table 6 Colorful - Accent 2"/>
    <w:basedOn w:val="9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9">
    <w:name w:val="Grid Table 6 Colorful - Accent 3"/>
    <w:basedOn w:val="95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0">
    <w:name w:val="Grid Table 6 Colorful - Accent 4"/>
    <w:basedOn w:val="9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1">
    <w:name w:val="Grid Table 6 Colorful - Accent 5"/>
    <w:basedOn w:val="95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2">
    <w:name w:val="Grid Table 6 Colorful - Accent 6"/>
    <w:basedOn w:val="95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7 Colorful"/>
    <w:basedOn w:val="95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 Accent 1"/>
    <w:basedOn w:val="95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5"/>
    <w:basedOn w:val="95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6"/>
    <w:basedOn w:val="95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1 Light"/>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 Accent 1"/>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2"/>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3"/>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4"/>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5"/>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6"/>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2"/>
    <w:basedOn w:val="95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 Accent 1"/>
    <w:basedOn w:val="95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2"/>
    <w:basedOn w:val="95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3"/>
    <w:basedOn w:val="95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4"/>
    <w:basedOn w:val="95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5"/>
    <w:basedOn w:val="95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6"/>
    <w:basedOn w:val="95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3"/>
    <w:basedOn w:val="9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 Accent 1"/>
    <w:basedOn w:val="95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2"/>
    <w:basedOn w:val="9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3"/>
    <w:basedOn w:val="95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4"/>
    <w:basedOn w:val="9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5"/>
    <w:basedOn w:val="95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6"/>
    <w:basedOn w:val="95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4"/>
    <w:basedOn w:val="9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 Accent 1"/>
    <w:basedOn w:val="95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2"/>
    <w:basedOn w:val="95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3"/>
    <w:basedOn w:val="95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4"/>
    <w:basedOn w:val="95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5"/>
    <w:basedOn w:val="95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6"/>
    <w:basedOn w:val="95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5 Dark"/>
    <w:basedOn w:val="95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9">
    <w:name w:val="List Table 5 Dark - Accent 1"/>
    <w:basedOn w:val="95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2"/>
    <w:basedOn w:val="95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3"/>
    <w:basedOn w:val="95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4"/>
    <w:basedOn w:val="95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5"/>
    <w:basedOn w:val="95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6"/>
    <w:basedOn w:val="95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6 Colorful"/>
    <w:basedOn w:val="95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 Accent 1"/>
    <w:basedOn w:val="95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2"/>
    <w:basedOn w:val="95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3"/>
    <w:basedOn w:val="95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4"/>
    <w:basedOn w:val="95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5"/>
    <w:basedOn w:val="95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6"/>
    <w:basedOn w:val="95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7 Colorful"/>
    <w:basedOn w:val="95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3">
    <w:name w:val="List Table 7 Colorful - Accent 1"/>
    <w:basedOn w:val="95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4">
    <w:name w:val="List Table 7 Colorful - Accent 2"/>
    <w:basedOn w:val="95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5">
    <w:name w:val="List Table 7 Colorful - Accent 3"/>
    <w:basedOn w:val="95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6">
    <w:name w:val="List Table 7 Colorful - Accent 4"/>
    <w:basedOn w:val="95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7">
    <w:name w:val="List Table 7 Colorful - Accent 5"/>
    <w:basedOn w:val="95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78">
    <w:name w:val="List Table 7 Colorful - Accent 6"/>
    <w:basedOn w:val="95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79">
    <w:name w:val="Lined - Accent"/>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1"/>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2"/>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3"/>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4"/>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5"/>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6"/>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w:basedOn w:val="95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1"/>
    <w:basedOn w:val="95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2"/>
    <w:basedOn w:val="95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3"/>
    <w:basedOn w:val="95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4"/>
    <w:basedOn w:val="95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5"/>
    <w:basedOn w:val="95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6"/>
    <w:basedOn w:val="95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w:basedOn w:val="95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1"/>
    <w:basedOn w:val="9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2"/>
    <w:basedOn w:val="9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3"/>
    <w:basedOn w:val="9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4"/>
    <w:basedOn w:val="9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5"/>
    <w:basedOn w:val="9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6"/>
    <w:basedOn w:val="9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0">
    <w:name w:val="Heading 1"/>
    <w:basedOn w:val="955"/>
    <w:next w:val="955"/>
    <w:link w:val="90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1">
    <w:name w:val="Heading 2"/>
    <w:basedOn w:val="955"/>
    <w:next w:val="955"/>
    <w:link w:val="90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5"/>
    <w:basedOn w:val="955"/>
    <w:next w:val="955"/>
    <w:link w:val="91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3">
    <w:name w:val="Heading 6"/>
    <w:basedOn w:val="955"/>
    <w:next w:val="955"/>
    <w:link w:val="91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4">
    <w:name w:val="Heading 7"/>
    <w:basedOn w:val="955"/>
    <w:next w:val="955"/>
    <w:link w:val="91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5">
    <w:name w:val="Heading 8"/>
    <w:basedOn w:val="955"/>
    <w:next w:val="955"/>
    <w:link w:val="91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6">
    <w:name w:val="Heading 9"/>
    <w:basedOn w:val="955"/>
    <w:next w:val="955"/>
    <w:link w:val="91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7">
    <w:name w:val="Heading 1 Char"/>
    <w:basedOn w:val="958"/>
    <w:link w:val="900"/>
    <w:uiPriority w:val="9"/>
    <w:pPr>
      <w:pBdr/>
      <w:spacing/>
      <w:ind/>
    </w:pPr>
    <w:rPr>
      <w:rFonts w:ascii="Arial" w:hAnsi="Arial" w:eastAsia="Arial" w:cs="Arial"/>
      <w:color w:val="0f4761" w:themeColor="accent1" w:themeShade="BF"/>
      <w:sz w:val="40"/>
      <w:szCs w:val="40"/>
    </w:rPr>
  </w:style>
  <w:style w:type="character" w:styleId="908">
    <w:name w:val="Heading 2 Char"/>
    <w:basedOn w:val="958"/>
    <w:link w:val="901"/>
    <w:uiPriority w:val="9"/>
    <w:pPr>
      <w:pBdr/>
      <w:spacing/>
      <w:ind/>
    </w:pPr>
    <w:rPr>
      <w:rFonts w:ascii="Arial" w:hAnsi="Arial" w:eastAsia="Arial" w:cs="Arial"/>
      <w:color w:val="0f4761" w:themeColor="accent1" w:themeShade="BF"/>
      <w:sz w:val="32"/>
      <w:szCs w:val="32"/>
    </w:rPr>
  </w:style>
  <w:style w:type="character" w:styleId="909">
    <w:name w:val="Heading 3 Char"/>
    <w:basedOn w:val="958"/>
    <w:link w:val="956"/>
    <w:uiPriority w:val="9"/>
    <w:pPr>
      <w:pBdr/>
      <w:spacing/>
      <w:ind/>
    </w:pPr>
    <w:rPr>
      <w:rFonts w:ascii="Arial" w:hAnsi="Arial" w:eastAsia="Arial" w:cs="Arial"/>
      <w:color w:val="0f4761" w:themeColor="accent1" w:themeShade="BF"/>
      <w:sz w:val="28"/>
      <w:szCs w:val="28"/>
    </w:rPr>
  </w:style>
  <w:style w:type="character" w:styleId="910">
    <w:name w:val="Heading 4 Char"/>
    <w:basedOn w:val="958"/>
    <w:link w:val="957"/>
    <w:uiPriority w:val="9"/>
    <w:pPr>
      <w:pBdr/>
      <w:spacing/>
      <w:ind/>
    </w:pPr>
    <w:rPr>
      <w:rFonts w:ascii="Arial" w:hAnsi="Arial" w:eastAsia="Arial" w:cs="Arial"/>
      <w:i/>
      <w:iCs/>
      <w:color w:val="0f4761" w:themeColor="accent1" w:themeShade="BF"/>
    </w:rPr>
  </w:style>
  <w:style w:type="character" w:styleId="911">
    <w:name w:val="Heading 5 Char"/>
    <w:basedOn w:val="958"/>
    <w:link w:val="902"/>
    <w:uiPriority w:val="9"/>
    <w:pPr>
      <w:pBdr/>
      <w:spacing/>
      <w:ind/>
    </w:pPr>
    <w:rPr>
      <w:rFonts w:ascii="Arial" w:hAnsi="Arial" w:eastAsia="Arial" w:cs="Arial"/>
      <w:color w:val="0f4761" w:themeColor="accent1" w:themeShade="BF"/>
    </w:rPr>
  </w:style>
  <w:style w:type="character" w:styleId="912">
    <w:name w:val="Heading 6 Char"/>
    <w:basedOn w:val="958"/>
    <w:link w:val="903"/>
    <w:uiPriority w:val="9"/>
    <w:pPr>
      <w:pBdr/>
      <w:spacing/>
      <w:ind/>
    </w:pPr>
    <w:rPr>
      <w:rFonts w:ascii="Arial" w:hAnsi="Arial" w:eastAsia="Arial" w:cs="Arial"/>
      <w:i/>
      <w:iCs/>
      <w:color w:val="595959" w:themeColor="text1" w:themeTint="A6"/>
    </w:rPr>
  </w:style>
  <w:style w:type="character" w:styleId="913">
    <w:name w:val="Heading 7 Char"/>
    <w:basedOn w:val="958"/>
    <w:link w:val="904"/>
    <w:uiPriority w:val="9"/>
    <w:pPr>
      <w:pBdr/>
      <w:spacing/>
      <w:ind/>
    </w:pPr>
    <w:rPr>
      <w:rFonts w:ascii="Arial" w:hAnsi="Arial" w:eastAsia="Arial" w:cs="Arial"/>
      <w:color w:val="595959" w:themeColor="text1" w:themeTint="A6"/>
    </w:rPr>
  </w:style>
  <w:style w:type="character" w:styleId="914">
    <w:name w:val="Heading 8 Char"/>
    <w:basedOn w:val="958"/>
    <w:link w:val="905"/>
    <w:uiPriority w:val="9"/>
    <w:pPr>
      <w:pBdr/>
      <w:spacing/>
      <w:ind/>
    </w:pPr>
    <w:rPr>
      <w:rFonts w:ascii="Arial" w:hAnsi="Arial" w:eastAsia="Arial" w:cs="Arial"/>
      <w:i/>
      <w:iCs/>
      <w:color w:val="272727" w:themeColor="text1" w:themeTint="D8"/>
    </w:rPr>
  </w:style>
  <w:style w:type="character" w:styleId="915">
    <w:name w:val="Heading 9 Char"/>
    <w:basedOn w:val="958"/>
    <w:link w:val="906"/>
    <w:uiPriority w:val="9"/>
    <w:pPr>
      <w:pBdr/>
      <w:spacing/>
      <w:ind/>
    </w:pPr>
    <w:rPr>
      <w:rFonts w:ascii="Arial" w:hAnsi="Arial" w:eastAsia="Arial" w:cs="Arial"/>
      <w:i/>
      <w:iCs/>
      <w:color w:val="272727" w:themeColor="text1" w:themeTint="D8"/>
    </w:rPr>
  </w:style>
  <w:style w:type="character" w:styleId="916">
    <w:name w:val="Title Char"/>
    <w:basedOn w:val="958"/>
    <w:link w:val="965"/>
    <w:uiPriority w:val="10"/>
    <w:pPr>
      <w:pBdr/>
      <w:spacing/>
      <w:ind/>
    </w:pPr>
    <w:rPr>
      <w:rFonts w:ascii="Arial" w:hAnsi="Arial" w:eastAsia="Arial" w:cs="Arial"/>
      <w:spacing w:val="-10"/>
      <w:sz w:val="56"/>
      <w:szCs w:val="56"/>
    </w:rPr>
  </w:style>
  <w:style w:type="paragraph" w:styleId="917">
    <w:name w:val="Subtitle"/>
    <w:basedOn w:val="955"/>
    <w:next w:val="955"/>
    <w:link w:val="918"/>
    <w:uiPriority w:val="11"/>
    <w:qFormat/>
    <w:pPr>
      <w:numPr>
        <w:ilvl w:val="1"/>
      </w:numPr>
      <w:pBdr/>
      <w:spacing/>
      <w:ind/>
    </w:pPr>
    <w:rPr>
      <w:color w:val="595959" w:themeColor="text1" w:themeTint="A6"/>
      <w:spacing w:val="15"/>
      <w:sz w:val="28"/>
      <w:szCs w:val="28"/>
    </w:rPr>
  </w:style>
  <w:style w:type="character" w:styleId="918">
    <w:name w:val="Subtitle Char"/>
    <w:basedOn w:val="958"/>
    <w:link w:val="917"/>
    <w:uiPriority w:val="11"/>
    <w:pPr>
      <w:pBdr/>
      <w:spacing/>
      <w:ind/>
    </w:pPr>
    <w:rPr>
      <w:color w:val="595959" w:themeColor="text1" w:themeTint="A6"/>
      <w:spacing w:val="15"/>
      <w:sz w:val="28"/>
      <w:szCs w:val="28"/>
    </w:rPr>
  </w:style>
  <w:style w:type="paragraph" w:styleId="919">
    <w:name w:val="Quote"/>
    <w:basedOn w:val="955"/>
    <w:next w:val="955"/>
    <w:link w:val="920"/>
    <w:uiPriority w:val="29"/>
    <w:qFormat/>
    <w:pPr>
      <w:pBdr/>
      <w:spacing w:before="160"/>
      <w:ind/>
      <w:jc w:val="center"/>
    </w:pPr>
    <w:rPr>
      <w:i/>
      <w:iCs/>
      <w:color w:val="404040" w:themeColor="text1" w:themeTint="BF"/>
    </w:rPr>
  </w:style>
  <w:style w:type="character" w:styleId="920">
    <w:name w:val="Quote Char"/>
    <w:basedOn w:val="958"/>
    <w:link w:val="919"/>
    <w:uiPriority w:val="29"/>
    <w:pPr>
      <w:pBdr/>
      <w:spacing/>
      <w:ind/>
    </w:pPr>
    <w:rPr>
      <w:i/>
      <w:iCs/>
      <w:color w:val="404040" w:themeColor="text1" w:themeTint="BF"/>
    </w:rPr>
  </w:style>
  <w:style w:type="character" w:styleId="921">
    <w:name w:val="Intense Emphasis"/>
    <w:basedOn w:val="958"/>
    <w:uiPriority w:val="21"/>
    <w:qFormat/>
    <w:pPr>
      <w:pBdr/>
      <w:spacing/>
      <w:ind/>
    </w:pPr>
    <w:rPr>
      <w:i/>
      <w:iCs/>
      <w:color w:val="0f4761" w:themeColor="accent1" w:themeShade="BF"/>
    </w:rPr>
  </w:style>
  <w:style w:type="paragraph" w:styleId="922">
    <w:name w:val="Intense Quote"/>
    <w:basedOn w:val="955"/>
    <w:next w:val="955"/>
    <w:link w:val="92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3">
    <w:name w:val="Intense Quote Char"/>
    <w:basedOn w:val="958"/>
    <w:link w:val="922"/>
    <w:uiPriority w:val="30"/>
    <w:pPr>
      <w:pBdr/>
      <w:spacing/>
      <w:ind/>
    </w:pPr>
    <w:rPr>
      <w:i/>
      <w:iCs/>
      <w:color w:val="0f4761" w:themeColor="accent1" w:themeShade="BF"/>
    </w:rPr>
  </w:style>
  <w:style w:type="character" w:styleId="924">
    <w:name w:val="Intense Reference"/>
    <w:basedOn w:val="958"/>
    <w:uiPriority w:val="32"/>
    <w:qFormat/>
    <w:pPr>
      <w:pBdr/>
      <w:spacing/>
      <w:ind/>
    </w:pPr>
    <w:rPr>
      <w:b/>
      <w:bCs/>
      <w:smallCaps/>
      <w:color w:val="0f4761" w:themeColor="accent1" w:themeShade="BF"/>
      <w:spacing w:val="5"/>
    </w:rPr>
  </w:style>
  <w:style w:type="paragraph" w:styleId="925">
    <w:name w:val="No Spacing"/>
    <w:basedOn w:val="955"/>
    <w:uiPriority w:val="1"/>
    <w:qFormat/>
    <w:pPr>
      <w:pBdr/>
      <w:spacing w:after="0" w:line="240" w:lineRule="auto"/>
      <w:ind/>
    </w:pPr>
  </w:style>
  <w:style w:type="character" w:styleId="926">
    <w:name w:val="Subtle Emphasis"/>
    <w:basedOn w:val="958"/>
    <w:uiPriority w:val="19"/>
    <w:qFormat/>
    <w:pPr>
      <w:pBdr/>
      <w:spacing/>
      <w:ind/>
    </w:pPr>
    <w:rPr>
      <w:i/>
      <w:iCs/>
      <w:color w:val="404040" w:themeColor="text1" w:themeTint="BF"/>
    </w:rPr>
  </w:style>
  <w:style w:type="character" w:styleId="927">
    <w:name w:val="Emphasis"/>
    <w:basedOn w:val="958"/>
    <w:uiPriority w:val="20"/>
    <w:qFormat/>
    <w:pPr>
      <w:pBdr/>
      <w:spacing/>
      <w:ind/>
    </w:pPr>
    <w:rPr>
      <w:i/>
      <w:iCs/>
    </w:rPr>
  </w:style>
  <w:style w:type="character" w:styleId="928">
    <w:name w:val="Strong"/>
    <w:basedOn w:val="958"/>
    <w:uiPriority w:val="22"/>
    <w:qFormat/>
    <w:pPr>
      <w:pBdr/>
      <w:spacing/>
      <w:ind/>
    </w:pPr>
    <w:rPr>
      <w:b/>
      <w:bCs/>
    </w:rPr>
  </w:style>
  <w:style w:type="character" w:styleId="929">
    <w:name w:val="Subtle Reference"/>
    <w:basedOn w:val="958"/>
    <w:uiPriority w:val="31"/>
    <w:qFormat/>
    <w:pPr>
      <w:pBdr/>
      <w:spacing/>
      <w:ind/>
    </w:pPr>
    <w:rPr>
      <w:smallCaps/>
      <w:color w:val="5a5a5a" w:themeColor="text1" w:themeTint="A5"/>
    </w:rPr>
  </w:style>
  <w:style w:type="character" w:styleId="930">
    <w:name w:val="Book Title"/>
    <w:basedOn w:val="958"/>
    <w:uiPriority w:val="33"/>
    <w:qFormat/>
    <w:pPr>
      <w:pBdr/>
      <w:spacing/>
      <w:ind/>
    </w:pPr>
    <w:rPr>
      <w:b/>
      <w:bCs/>
      <w:i/>
      <w:iCs/>
      <w:spacing w:val="5"/>
    </w:rPr>
  </w:style>
  <w:style w:type="paragraph" w:styleId="931">
    <w:name w:val="Header"/>
    <w:basedOn w:val="955"/>
    <w:link w:val="932"/>
    <w:uiPriority w:val="99"/>
    <w:unhideWhenUsed/>
    <w:pPr>
      <w:pBdr/>
      <w:tabs>
        <w:tab w:val="center" w:leader="none" w:pos="4844"/>
        <w:tab w:val="right" w:leader="none" w:pos="9689"/>
      </w:tabs>
      <w:spacing w:after="0" w:line="240" w:lineRule="auto"/>
      <w:ind/>
    </w:pPr>
  </w:style>
  <w:style w:type="character" w:styleId="932">
    <w:name w:val="Header Char"/>
    <w:basedOn w:val="958"/>
    <w:link w:val="931"/>
    <w:uiPriority w:val="99"/>
    <w:pPr>
      <w:pBdr/>
      <w:spacing/>
      <w:ind/>
    </w:pPr>
  </w:style>
  <w:style w:type="paragraph" w:styleId="933">
    <w:name w:val="Footer"/>
    <w:basedOn w:val="955"/>
    <w:link w:val="934"/>
    <w:uiPriority w:val="99"/>
    <w:unhideWhenUsed/>
    <w:pPr>
      <w:pBdr/>
      <w:tabs>
        <w:tab w:val="center" w:leader="none" w:pos="4844"/>
        <w:tab w:val="right" w:leader="none" w:pos="9689"/>
      </w:tabs>
      <w:spacing w:after="0" w:line="240" w:lineRule="auto"/>
      <w:ind/>
    </w:pPr>
  </w:style>
  <w:style w:type="character" w:styleId="934">
    <w:name w:val="Footer Char"/>
    <w:basedOn w:val="958"/>
    <w:link w:val="933"/>
    <w:uiPriority w:val="99"/>
    <w:pPr>
      <w:pBdr/>
      <w:spacing/>
      <w:ind/>
    </w:pPr>
  </w:style>
  <w:style w:type="paragraph" w:styleId="935">
    <w:name w:val="footnote text"/>
    <w:basedOn w:val="955"/>
    <w:link w:val="936"/>
    <w:uiPriority w:val="99"/>
    <w:semiHidden/>
    <w:unhideWhenUsed/>
    <w:pPr>
      <w:pBdr/>
      <w:spacing w:after="0" w:line="240" w:lineRule="auto"/>
      <w:ind/>
    </w:pPr>
    <w:rPr>
      <w:sz w:val="20"/>
      <w:szCs w:val="20"/>
    </w:rPr>
  </w:style>
  <w:style w:type="character" w:styleId="936">
    <w:name w:val="Footnote Text Char"/>
    <w:basedOn w:val="958"/>
    <w:link w:val="935"/>
    <w:uiPriority w:val="99"/>
    <w:semiHidden/>
    <w:pPr>
      <w:pBdr/>
      <w:spacing/>
      <w:ind/>
    </w:pPr>
    <w:rPr>
      <w:sz w:val="20"/>
      <w:szCs w:val="20"/>
    </w:rPr>
  </w:style>
  <w:style w:type="character" w:styleId="937">
    <w:name w:val="footnote reference"/>
    <w:basedOn w:val="958"/>
    <w:uiPriority w:val="99"/>
    <w:semiHidden/>
    <w:unhideWhenUsed/>
    <w:pPr>
      <w:pBdr/>
      <w:spacing/>
      <w:ind/>
    </w:pPr>
    <w:rPr>
      <w:vertAlign w:val="superscript"/>
    </w:rPr>
  </w:style>
  <w:style w:type="paragraph" w:styleId="938">
    <w:name w:val="endnote text"/>
    <w:basedOn w:val="955"/>
    <w:link w:val="939"/>
    <w:uiPriority w:val="99"/>
    <w:semiHidden/>
    <w:unhideWhenUsed/>
    <w:pPr>
      <w:pBdr/>
      <w:spacing w:after="0" w:line="240" w:lineRule="auto"/>
      <w:ind/>
    </w:pPr>
    <w:rPr>
      <w:sz w:val="20"/>
      <w:szCs w:val="20"/>
    </w:rPr>
  </w:style>
  <w:style w:type="character" w:styleId="939">
    <w:name w:val="Endnote Text Char"/>
    <w:basedOn w:val="958"/>
    <w:link w:val="938"/>
    <w:uiPriority w:val="99"/>
    <w:semiHidden/>
    <w:pPr>
      <w:pBdr/>
      <w:spacing/>
      <w:ind/>
    </w:pPr>
    <w:rPr>
      <w:sz w:val="20"/>
      <w:szCs w:val="20"/>
    </w:rPr>
  </w:style>
  <w:style w:type="character" w:styleId="940">
    <w:name w:val="endnote reference"/>
    <w:basedOn w:val="958"/>
    <w:uiPriority w:val="99"/>
    <w:semiHidden/>
    <w:unhideWhenUsed/>
    <w:pPr>
      <w:pBdr/>
      <w:spacing/>
      <w:ind/>
    </w:pPr>
    <w:rPr>
      <w:vertAlign w:val="superscript"/>
    </w:rPr>
  </w:style>
  <w:style w:type="character" w:styleId="941">
    <w:name w:val="Hyperlink"/>
    <w:basedOn w:val="958"/>
    <w:uiPriority w:val="99"/>
    <w:unhideWhenUsed/>
    <w:pPr>
      <w:pBdr/>
      <w:spacing/>
      <w:ind/>
    </w:pPr>
    <w:rPr>
      <w:color w:val="0563c1" w:themeColor="hyperlink"/>
      <w:u w:val="single"/>
    </w:rPr>
  </w:style>
  <w:style w:type="character" w:styleId="942">
    <w:name w:val="FollowedHyperlink"/>
    <w:basedOn w:val="958"/>
    <w:uiPriority w:val="99"/>
    <w:semiHidden/>
    <w:unhideWhenUsed/>
    <w:pPr>
      <w:pBdr/>
      <w:spacing/>
      <w:ind/>
    </w:pPr>
    <w:rPr>
      <w:color w:val="954f72" w:themeColor="followedHyperlink"/>
      <w:u w:val="single"/>
    </w:rPr>
  </w:style>
  <w:style w:type="paragraph" w:styleId="943">
    <w:name w:val="toc 1"/>
    <w:basedOn w:val="955"/>
    <w:next w:val="955"/>
    <w:uiPriority w:val="39"/>
    <w:unhideWhenUsed/>
    <w:pPr>
      <w:pBdr/>
      <w:spacing w:after="100"/>
      <w:ind/>
    </w:pPr>
  </w:style>
  <w:style w:type="paragraph" w:styleId="944">
    <w:name w:val="toc 2"/>
    <w:basedOn w:val="955"/>
    <w:next w:val="955"/>
    <w:uiPriority w:val="39"/>
    <w:unhideWhenUsed/>
    <w:pPr>
      <w:pBdr/>
      <w:spacing w:after="100"/>
      <w:ind w:left="220"/>
    </w:p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8"/>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widowControl w:val="false"/>
      <w:pBdr/>
      <w:spacing/>
      <w:ind/>
    </w:pPr>
    <w:rPr>
      <w:rFonts w:ascii="Arial" w:hAnsi="Arial" w:eastAsia="Lucida Sans Unicode" w:cs="Times New Roman"/>
      <w:sz w:val="24"/>
      <w:szCs w:val="24"/>
      <w:lang w:eastAsia="ar-SA"/>
    </w:rPr>
  </w:style>
  <w:style w:type="paragraph" w:styleId="956">
    <w:name w:val="Heading 3"/>
    <w:basedOn w:val="955"/>
    <w:next w:val="955"/>
    <w:link w:val="963"/>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7">
    <w:name w:val="Heading 4"/>
    <w:basedOn w:val="955"/>
    <w:next w:val="955"/>
    <w:link w:val="961"/>
    <w:semiHidden/>
    <w:unhideWhenUsed/>
    <w:qFormat/>
    <w:pPr>
      <w:keepNext w:val="true"/>
      <w:pBdr/>
      <w:tabs>
        <w:tab w:val="left" w:leader="none" w:pos="360"/>
      </w:tabs>
      <w:spacing w:after="60" w:before="240"/>
      <w:ind/>
      <w:outlineLvl w:val="3"/>
    </w:pPr>
    <w:rPr>
      <w:b/>
      <w:bCs/>
      <w:sz w:val="28"/>
      <w:szCs w:val="28"/>
    </w:rPr>
  </w:style>
  <w:style w:type="character" w:styleId="958" w:default="1">
    <w:name w:val="Default Paragraph Font"/>
    <w:uiPriority w:val="1"/>
    <w:semiHidden/>
    <w:unhideWhenUsed/>
    <w:pPr>
      <w:pBdr/>
      <w:spacing/>
      <w:ind/>
    </w:pPr>
  </w:style>
  <w:style w:type="table" w:styleId="95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0" w:default="1">
    <w:name w:val="No List"/>
    <w:uiPriority w:val="99"/>
    <w:semiHidden/>
    <w:unhideWhenUsed/>
    <w:pPr>
      <w:pBdr/>
      <w:spacing/>
      <w:ind/>
    </w:pPr>
  </w:style>
  <w:style w:type="character" w:styleId="961" w:customStyle="1">
    <w:name w:val="Заголовок 4 Знак"/>
    <w:basedOn w:val="958"/>
    <w:link w:val="957"/>
    <w:semiHidden/>
    <w:qFormat/>
    <w:pPr>
      <w:pBdr/>
      <w:spacing/>
      <w:ind/>
    </w:pPr>
    <w:rPr>
      <w:rFonts w:ascii="Arial" w:hAnsi="Arial" w:eastAsia="Lucida Sans Unicode" w:cs="Times New Roman"/>
      <w:b/>
      <w:bCs/>
      <w:sz w:val="28"/>
      <w:szCs w:val="28"/>
      <w:lang w:eastAsia="ar-SA"/>
    </w:rPr>
  </w:style>
  <w:style w:type="character" w:styleId="962" w:customStyle="1">
    <w:name w:val="Основной текст с отступом Знак"/>
    <w:basedOn w:val="958"/>
    <w:semiHidden/>
    <w:qFormat/>
    <w:pPr>
      <w:pBdr/>
      <w:spacing/>
      <w:ind/>
    </w:pPr>
    <w:rPr>
      <w:rFonts w:ascii="Arial" w:hAnsi="Arial" w:eastAsia="Lucida Sans Unicode" w:cs="Times New Roman"/>
      <w:sz w:val="24"/>
      <w:szCs w:val="24"/>
      <w:lang w:eastAsia="ar-SA"/>
    </w:rPr>
  </w:style>
  <w:style w:type="character" w:styleId="963" w:customStyle="1">
    <w:name w:val="Заголовок 3 Знак"/>
    <w:basedOn w:val="958"/>
    <w:link w:val="956"/>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4" w:customStyle="1">
    <w:name w:val="Интернет-ссылка"/>
    <w:basedOn w:val="958"/>
    <w:uiPriority w:val="99"/>
    <w:semiHidden/>
    <w:unhideWhenUsed/>
    <w:pPr>
      <w:pBdr/>
      <w:spacing/>
      <w:ind/>
    </w:pPr>
    <w:rPr>
      <w:color w:val="0000ff"/>
      <w:u w:val="single"/>
    </w:rPr>
  </w:style>
  <w:style w:type="paragraph" w:styleId="965">
    <w:name w:val="Title"/>
    <w:basedOn w:val="955"/>
    <w:next w:val="966"/>
    <w:qFormat/>
    <w:pPr>
      <w:keepNext w:val="true"/>
      <w:pBdr/>
      <w:spacing w:after="120" w:before="240"/>
      <w:ind/>
    </w:pPr>
    <w:rPr>
      <w:rFonts w:ascii="Liberation Sans" w:hAnsi="Liberation Sans" w:eastAsia="Microsoft YaHei" w:cs="Arial"/>
      <w:sz w:val="28"/>
      <w:szCs w:val="28"/>
    </w:rPr>
  </w:style>
  <w:style w:type="paragraph" w:styleId="966">
    <w:name w:val="Body Text"/>
    <w:basedOn w:val="955"/>
    <w:pPr>
      <w:pBdr/>
      <w:spacing w:after="140" w:line="276" w:lineRule="auto"/>
      <w:ind/>
    </w:pPr>
  </w:style>
  <w:style w:type="paragraph" w:styleId="967">
    <w:name w:val="List"/>
    <w:basedOn w:val="966"/>
    <w:pPr>
      <w:pBdr/>
      <w:spacing/>
      <w:ind/>
    </w:pPr>
    <w:rPr>
      <w:rFonts w:cs="Arial"/>
    </w:rPr>
  </w:style>
  <w:style w:type="paragraph" w:styleId="968">
    <w:name w:val="Caption"/>
    <w:basedOn w:val="955"/>
    <w:qFormat/>
    <w:pPr>
      <w:suppressLineNumbers w:val="true"/>
      <w:pBdr/>
      <w:spacing w:after="120" w:before="120"/>
      <w:ind/>
    </w:pPr>
    <w:rPr>
      <w:rFonts w:cs="Arial"/>
      <w:i/>
      <w:iCs/>
    </w:rPr>
  </w:style>
  <w:style w:type="paragraph" w:styleId="969">
    <w:name w:val="index heading"/>
    <w:basedOn w:val="955"/>
    <w:qFormat/>
    <w:pPr>
      <w:suppressLineNumbers w:val="true"/>
      <w:pBdr/>
      <w:spacing/>
      <w:ind/>
    </w:pPr>
    <w:rPr>
      <w:rFonts w:cs="Arial"/>
    </w:rPr>
  </w:style>
  <w:style w:type="paragraph" w:styleId="970">
    <w:name w:val="Normal (Web)"/>
    <w:basedOn w:val="955"/>
    <w:uiPriority w:val="99"/>
    <w:semiHidden/>
    <w:unhideWhenUsed/>
    <w:qFormat/>
    <w:pPr>
      <w:pBdr/>
      <w:spacing w:after="280" w:before="280"/>
      <w:ind/>
    </w:pPr>
  </w:style>
  <w:style w:type="paragraph" w:styleId="971">
    <w:name w:val="Body Text Indent"/>
    <w:basedOn w:val="955"/>
    <w:semiHidden/>
    <w:unhideWhenUsed/>
    <w:pPr>
      <w:pBdr/>
      <w:spacing w:after="120"/>
      <w:ind w:left="283"/>
    </w:pPr>
  </w:style>
  <w:style w:type="paragraph" w:styleId="972" w:customStyle="1">
    <w:name w:val="Текст в заданном формате"/>
    <w:basedOn w:val="955"/>
    <w:qFormat/>
    <w:pPr>
      <w:pBdr/>
      <w:spacing/>
      <w:ind/>
    </w:pPr>
    <w:rPr>
      <w:rFonts w:ascii="Courier New" w:hAnsi="Courier New" w:eastAsia="Courier New" w:cs="Courier New"/>
      <w:sz w:val="20"/>
      <w:szCs w:val="20"/>
    </w:rPr>
  </w:style>
  <w:style w:type="paragraph" w:styleId="973"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4">
    <w:name w:val="List Paragraph"/>
    <w:basedOn w:val="955"/>
    <w:uiPriority w:val="34"/>
    <w:qFormat/>
    <w:pPr>
      <w:pBdr/>
      <w:spacing/>
      <w:ind w:left="720"/>
      <w:contextualSpacing w:val="true"/>
    </w:pPr>
  </w:style>
  <w:style w:type="numbering" w:styleId="975" w:customStyle="1">
    <w:name w:val="Стиль2"/>
    <w:uiPriority w:val="99"/>
    <w:qFormat/>
    <w:pPr>
      <w:pBdr/>
      <w:spacing/>
      <w:ind/>
    </w:pPr>
  </w:style>
  <w:style w:type="table" w:styleId="976">
    <w:name w:val="Table Grid"/>
    <w:basedOn w:val="959"/>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7"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78"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2D73-4AC7-4A6C-BCA5-3C028EB4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5</cp:revision>
  <dcterms:created xsi:type="dcterms:W3CDTF">2022-05-11T07:51:00Z</dcterms:created>
  <dcterms:modified xsi:type="dcterms:W3CDTF">2026-01-21T06:16:49Z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