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8"/>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8"/>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8"/>
        <w:pBdr/>
        <w:spacing/>
        <w:ind/>
        <w:jc w:val="center"/>
        <w:rPr>
          <w:rFonts w:ascii="Times New Roman" w:hAnsi="Times New Roman" w:cs="Times New Roman"/>
          <w:b/>
          <w:bCs/>
          <w:sz w:val="22"/>
          <w:szCs w:val="22"/>
        </w:rPr>
      </w:pPr>
      <w:r>
        <w:rPr>
          <w:rFonts w:ascii="Times New Roman" w:hAnsi="Times New Roman" w:eastAsia="Times New Roman" w:cs="Times New Roman"/>
          <w:b/>
          <w:sz w:val="22"/>
          <w:szCs w:val="22"/>
          <w:highlight w:val="none"/>
        </w:rPr>
      </w:r>
      <w:r>
        <w:rPr>
          <w:rFonts w:ascii="Times New Roman" w:hAnsi="Times New Roman" w:cs="Times New Roman"/>
          <w:b/>
          <w:bCs/>
          <w:sz w:val="22"/>
          <w:szCs w:val="22"/>
        </w:rPr>
      </w:r>
      <w:r>
        <w:rPr>
          <w:rFonts w:ascii="Times New Roman" w:hAnsi="Times New Roman" w:cs="Times New Roman"/>
          <w:b/>
          <w:bCs/>
          <w:sz w:val="22"/>
          <w:szCs w:val="22"/>
        </w:rPr>
      </w:r>
    </w:p>
    <w:p>
      <w:pPr>
        <w:pStyle w:val="978"/>
        <w:pBdr/>
        <w:spacing/>
        <w:ind/>
        <w:jc w:val="center"/>
        <w:rPr>
          <w:rFonts w:ascii="Times New Roman" w:hAnsi="Times New Roman" w:cs="Times New Roman"/>
          <w:b/>
          <w:bCs/>
          <w:sz w:val="22"/>
          <w:szCs w:val="22"/>
          <w:highlight w:val="none"/>
        </w:rPr>
      </w:pPr>
      <w:r>
        <w:rPr>
          <w:rFonts w:ascii="Times New Roman" w:hAnsi="Times New Roman" w:eastAsia="Times New Roman" w:cs="Times New Roman"/>
          <w:b/>
          <w:sz w:val="22"/>
          <w:szCs w:val="22"/>
        </w:rPr>
        <w:t xml:space="preserve">Техническое задание </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3"/>
        <w:pBdr/>
        <w:spacing/>
        <w:ind/>
        <w:jc w:val="center"/>
        <w:rPr>
          <w:rFonts w:ascii="Times New Roman" w:hAnsi="Times New Roman" w:cs="Times New Roman"/>
          <w:b w:val="0"/>
          <w:bCs w:val="0"/>
          <w:sz w:val="22"/>
          <w:szCs w:val="22"/>
          <w:highlight w:val="yellow"/>
        </w:rPr>
      </w:pPr>
      <w:r>
        <w:rPr>
          <w:rFonts w:ascii="Times New Roman" w:hAnsi="Times New Roman" w:eastAsia="Times New Roman" w:cs="Times New Roman"/>
          <w:b w:val="0"/>
          <w:bCs w:val="0"/>
          <w:sz w:val="22"/>
          <w:szCs w:val="22"/>
          <w:highlight w:val="yellow"/>
        </w:rPr>
        <w:t xml:space="preserve">на</w:t>
      </w:r>
      <w:r>
        <w:rPr>
          <w:rFonts w:ascii="Times New Roman" w:hAnsi="Times New Roman" w:eastAsia="Times New Roman" w:cs="Times New Roman"/>
          <w:b w:val="0"/>
          <w:bCs w:val="0"/>
          <w:sz w:val="22"/>
          <w:szCs w:val="22"/>
          <w:highlight w:val="yellow"/>
        </w:rPr>
        <w:t xml:space="preserve"> 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 передачу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cs="Times New Roman"/>
          <w:b w:val="0"/>
          <w:bCs w:val="0"/>
          <w:sz w:val="22"/>
          <w:szCs w:val="22"/>
          <w:highlight w:val="yellow"/>
        </w:rPr>
      </w:r>
      <w:r>
        <w:rPr>
          <w:rFonts w:ascii="Times New Roman" w:hAnsi="Times New Roman" w:cs="Times New Roman"/>
          <w:b w:val="0"/>
          <w:bCs w:val="0"/>
          <w:sz w:val="22"/>
          <w:szCs w:val="22"/>
          <w:highlight w:val="yellow"/>
        </w:rPr>
      </w:r>
    </w:p>
    <w:p>
      <w:pPr>
        <w:pStyle w:val="978"/>
        <w:pBdr/>
        <w:spacing/>
        <w:ind/>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eastAsia="Courier New"/>
          <w:sz w:val="22"/>
          <w:szCs w:val="22"/>
        </w:rPr>
      </w:pPr>
      <w:r>
        <w:rPr>
          <w:rFonts w:ascii="Times New Roman" w:hAnsi="Times New Roman" w:eastAsia="Courier New"/>
          <w:sz w:val="22"/>
          <w:szCs w:val="22"/>
        </w:rPr>
      </w:r>
      <w:r>
        <w:rPr>
          <w:rFonts w:ascii="Times New Roman" w:hAnsi="Times New Roman" w:eastAsia="Courier New"/>
          <w:sz w:val="22"/>
          <w:szCs w:val="22"/>
        </w:rPr>
      </w:r>
      <w:r>
        <w:rPr>
          <w:rFonts w:ascii="Times New Roman" w:hAnsi="Times New Roman" w:eastAsia="Courier New"/>
          <w:sz w:val="22"/>
          <w:szCs w:val="22"/>
        </w:rPr>
      </w:r>
    </w:p>
    <w:p>
      <w:pPr>
        <w:pStyle w:val="980"/>
        <w:numPr>
          <w:ilvl w:val="0"/>
          <w:numId w:val="35"/>
        </w:numPr>
        <w:pBdr/>
        <w:spacing w:line="216" w:lineRule="auto"/>
        <w:ind/>
        <w:jc w:val="center"/>
        <w:rPr>
          <w:rFonts w:ascii="Times New Roman" w:hAnsi="Times New Roman"/>
          <w:b/>
          <w:sz w:val="22"/>
          <w:szCs w:val="22"/>
        </w:rPr>
      </w:pPr>
      <w:r>
        <w:rPr>
          <w:rFonts w:ascii="Times New Roman" w:hAnsi="Times New Roman"/>
          <w:b/>
          <w:sz w:val="22"/>
          <w:szCs w:val="22"/>
        </w:rPr>
        <w:t xml:space="preserve">Качество и характеристика услуг:</w:t>
      </w:r>
      <w:r>
        <w:rPr>
          <w:rFonts w:ascii="Times New Roman" w:hAnsi="Times New Roman"/>
          <w:b/>
          <w:sz w:val="22"/>
          <w:szCs w:val="22"/>
        </w:rPr>
      </w:r>
      <w:r>
        <w:rPr>
          <w:rFonts w:ascii="Times New Roman" w:hAnsi="Times New Roman"/>
          <w:b/>
          <w:sz w:val="22"/>
          <w:szCs w:val="22"/>
        </w:rPr>
      </w:r>
    </w:p>
    <w:p>
      <w:pPr>
        <w:pStyle w:val="979"/>
        <w:pBdr/>
        <w:spacing/>
        <w:ind/>
        <w:jc w:val="both"/>
        <w:rPr>
          <w:sz w:val="22"/>
          <w:szCs w:val="22"/>
        </w:rPr>
      </w:pPr>
      <w:r>
        <w:rPr>
          <w:sz w:val="22"/>
          <w:szCs w:val="22"/>
        </w:rPr>
      </w:r>
      <w:r>
        <w:rPr>
          <w:sz w:val="22"/>
          <w:szCs w:val="22"/>
        </w:rPr>
      </w:r>
      <w:r>
        <w:rPr>
          <w:sz w:val="22"/>
          <w:szCs w:val="22"/>
        </w:rPr>
      </w:r>
    </w:p>
    <w:p>
      <w:pPr>
        <w:pBdr/>
        <w:spacing/>
        <w:ind/>
        <w:jc w:val="both"/>
        <w:rPr>
          <w:rFonts w:ascii="Times New Roman" w:hAnsi="Times New Roman" w:eastAsia="Calibri"/>
          <w:color w:val="0d0d0d"/>
          <w:sz w:val="22"/>
          <w:szCs w:val="22"/>
          <w:highlight w:val="none"/>
        </w:rPr>
      </w:pPr>
      <w:r>
        <w:rPr>
          <w:rFonts w:ascii="Times New Roman" w:hAnsi="Times New Roman" w:eastAsia="Calibri"/>
          <w:color w:val="0d0d0d"/>
          <w:sz w:val="22"/>
          <w:szCs w:val="22"/>
        </w:rPr>
      </w:r>
      <w:r>
        <w:rPr>
          <w:rFonts w:ascii="Times New Roman" w:hAnsi="Times New Roman" w:eastAsia="Times New Roman" w:cs="Times New Roman"/>
          <w:color w:val="0d0d0d"/>
          <w:sz w:val="22"/>
          <w:szCs w:val="22"/>
        </w:rPr>
        <w:t xml:space="preserve">   </w:t>
      </w:r>
      <w:r>
        <w:rPr>
          <w:rFonts w:ascii="Times New Roman" w:hAnsi="Times New Roman" w:eastAsia="Times New Roman" w:cs="Times New Roman"/>
          <w:color w:val="0d0d0d"/>
          <w:sz w:val="22"/>
          <w:szCs w:val="22"/>
          <w:highlight w:val="yellow"/>
        </w:rPr>
        <w:t xml:space="preserve">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eastAsia="Times New Roman" w:cs="Times New Roman"/>
          <w:color w:val="0d0d0d"/>
          <w:sz w:val="22"/>
          <w:szCs w:val="22"/>
          <w:highlight w:val="yellow"/>
        </w:rPr>
        <w:t xml:space="preserve">,</w:t>
      </w:r>
      <w:r>
        <w:rPr>
          <w:rFonts w:ascii="Times New Roman" w:hAnsi="Times New Roman" w:eastAsia="Times New Roman" w:cs="Times New Roman"/>
          <w:color w:val="0d0d0d"/>
          <w:sz w:val="22"/>
          <w:szCs w:val="22"/>
        </w:rPr>
        <w:t xml:space="preserve"> ранее установленного на компьютере Заказчика, должно включать в  себя:</w:t>
      </w:r>
      <w:r>
        <w:rPr>
          <w:rFonts w:ascii="Times New Roman" w:hAnsi="Times New Roman" w:eastAsia="Calibri"/>
          <w:color w:val="0d0d0d"/>
          <w:sz w:val="22"/>
          <w:szCs w:val="22"/>
          <w:highlight w:val="none"/>
        </w:rPr>
      </w:r>
      <w:r>
        <w:rPr>
          <w:rFonts w:ascii="Times New Roman" w:hAnsi="Times New Roman" w:eastAsia="Calibri"/>
          <w:color w:val="0d0d0d"/>
          <w:sz w:val="22"/>
          <w:szCs w:val="22"/>
          <w:highlight w:val="none"/>
        </w:rPr>
      </w:r>
    </w:p>
    <w:p>
      <w:pPr>
        <w:pBdr/>
        <w:spacing/>
        <w:ind/>
        <w:jc w:val="both"/>
        <w:rPr>
          <w:rFonts w:ascii="Times New Roman" w:hAnsi="Times New Roman" w:eastAsia="Calibri"/>
          <w:color w:val="0d0d0d"/>
          <w:sz w:val="22"/>
          <w:szCs w:val="22"/>
        </w:rPr>
      </w:pPr>
      <w:r>
        <w:rPr>
          <w:rFonts w:ascii="Times New Roman" w:hAnsi="Times New Roman" w:eastAsia="Calibri"/>
          <w:color w:val="0d0d0d"/>
          <w:sz w:val="22"/>
          <w:szCs w:val="22"/>
          <w:highlight w:val="none"/>
        </w:rPr>
      </w:r>
      <w:r>
        <w:rPr>
          <w:rFonts w:ascii="Times New Roman" w:hAnsi="Times New Roman" w:eastAsia="Calibri"/>
          <w:color w:val="0d0d0d"/>
          <w:sz w:val="22"/>
          <w:szCs w:val="22"/>
        </w:rPr>
      </w:r>
      <w:r>
        <w:rPr>
          <w:rFonts w:ascii="Times New Roman" w:hAnsi="Times New Roman" w:eastAsia="Calibri"/>
          <w:color w:val="0d0d0d"/>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sz w:val="22"/>
          <w:szCs w:val="22"/>
        </w:rPr>
        <w:t xml:space="preserve">Обеспечение автоматизации бухгалтерского учета государственных бюджетных учреждений, финансируемых из федерального, регионального</w:t>
      </w:r>
      <w:r>
        <w:rPr>
          <w:rFonts w:ascii="Times New Roman" w:hAnsi="Times New Roman"/>
          <w:sz w:val="22"/>
          <w:szCs w:val="22"/>
        </w:rPr>
        <w:t xml:space="preserve">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быть предна</w:t>
      </w:r>
      <w:r>
        <w:rPr>
          <w:rFonts w:ascii="Times New Roman" w:hAnsi="Times New Roman"/>
          <w:sz w:val="22"/>
          <w:szCs w:val="22"/>
        </w:rPr>
        <w:t xml:space="preserve">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 ведение учета как одного учреждения, так и группы учреж</w:t>
      </w:r>
      <w:r>
        <w:rPr>
          <w:rFonts w:ascii="Times New Roman" w:hAnsi="Times New Roman"/>
          <w:sz w:val="22"/>
          <w:szCs w:val="22"/>
        </w:rPr>
        <w:t xml:space="preserve">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sz w:val="22"/>
          <w:szCs w:val="22"/>
        </w:rPr>
        <w:t xml:space="preserve">Главная книга и баланс должны формироваться консолидировано для группы учреждений либо раздельно по учреждениям и структурным подразделениям;</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быть разработан в соответствии с требованиями и положениями действующих норм</w:t>
      </w:r>
      <w:r>
        <w:rPr>
          <w:rFonts w:ascii="Times New Roman" w:hAnsi="Times New Roman"/>
          <w:sz w:val="22"/>
          <w:szCs w:val="22"/>
        </w:rPr>
        <w:t xml:space="preserve">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sz w:val="22"/>
          <w:szCs w:val="22"/>
        </w:rPr>
        <w:t xml:space="preserve">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w:t>
      </w:r>
      <w:r>
        <w:rPr>
          <w:rFonts w:ascii="Times New Roman" w:hAnsi="Times New Roman"/>
          <w:sz w:val="22"/>
          <w:szCs w:val="22"/>
        </w:rPr>
        <w:t xml:space="preserve">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b/>
          <w:sz w:val="22"/>
          <w:szCs w:val="22"/>
        </w:rPr>
      </w:pPr>
      <w:r>
        <w:rPr>
          <w:rFonts w:ascii="Times New Roman" w:hAnsi="Times New Roman" w:eastAsia="Times New Roman"/>
          <w:sz w:val="22"/>
          <w:szCs w:val="22"/>
        </w:rPr>
        <w:t xml:space="preserve">Ведение учета казенных, бюджетных и автономных учреждений.</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431" w:left="788"/>
        <w:jc w:val="both"/>
        <w:rPr>
          <w:rFonts w:ascii="Times New Roman" w:hAnsi="Times New Roman"/>
          <w:b/>
          <w:sz w:val="22"/>
          <w:szCs w:val="22"/>
        </w:rPr>
      </w:pPr>
      <w:r>
        <w:rPr>
          <w:rFonts w:ascii="Times New Roman" w:hAnsi="Times New Roman" w:eastAsia="Times New Roman"/>
          <w:sz w:val="22"/>
          <w:szCs w:val="22"/>
        </w:rPr>
        <w:t xml:space="preserve">Ведение учета деятельности группы учреждений в единой информационной базе (Централизованный учет).</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Ведение обособленного учета по источникам финансового обеспечения.</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Обособленный учет операций по переданным полномочиям.</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Ввод и хранение информации в объеме, необходимом для оформления первичных учетных документов и формирования регистров бухгалтерского учета;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Оформление исходящих первичных учетных документов (формирование в бумажном и/или электронном виде);</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Хранение сформированных первичных документов в электронном виде в информационной базе;</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стандартных и специализированных отчетов с различной группировкой и иерархией представления данных;</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регламентированной бухгалтерской, налоговой и статистической отчетности.</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пров</w:t>
      </w:r>
      <w:r>
        <w:rPr>
          <w:rFonts w:ascii="Times New Roman" w:hAnsi="Times New Roman"/>
          <w:sz w:val="22"/>
          <w:szCs w:val="22"/>
        </w:rPr>
        <w:t xml:space="preserve">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консультирование  по</w:t>
      </w:r>
      <w:r>
        <w:rPr>
          <w:rFonts w:ascii="Times New Roman" w:hAnsi="Times New Roman" w:eastAsia="Calibri"/>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предоставление методических материалов в электронном виде по участкам программного продукта;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предоставление обучающих видеороликов по участкам программного продукта;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возможность до 10 дополнительных разработок в год по запросам клиентов с условием, что данная разработка (новые участки учета, новые способы поиска и исправления ошибок, отчеты, в том числе внутриведомственные отчеты). </w:t>
      </w:r>
      <w:r>
        <w:rPr>
          <w:rFonts w:ascii="Times New Roman" w:hAnsi="Times New Roman"/>
          <w:color w:val="000000"/>
          <w:sz w:val="22"/>
          <w:szCs w:val="22"/>
        </w:rPr>
        <w:t xml:space="preserve">При этом все запрашиваемы</w:t>
      </w:r>
      <w:r>
        <w:rPr>
          <w:rFonts w:ascii="Times New Roman" w:hAnsi="Times New Roman"/>
          <w:color w:val="000000"/>
          <w:sz w:val="22"/>
          <w:szCs w:val="22"/>
        </w:rPr>
        <w:t xml:space="preserve">е дополнительные разработки должны удовлетворять следующим условиям: соответствовать и\или не противоречить действующему законодательству; учитывать текущие функциональные возможности конфигурации; расширять текущие функциональные возможности конфигурации;</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совершаемые пользователями</w:t>
      </w:r>
      <w:r>
        <w:rPr>
          <w:rFonts w:ascii="Times New Roman" w:hAnsi="Times New Roman"/>
          <w:sz w:val="22"/>
          <w:szCs w:val="22"/>
        </w:rPr>
        <w:t xml:space="preserve"> программного продукта;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 результатам работы системных аналитиков Исполнителя;</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w:t>
      </w:r>
      <w:r>
        <w:rPr>
          <w:rFonts w:ascii="Times New Roman" w:hAnsi="Times New Roman"/>
          <w:sz w:val="22"/>
          <w:szCs w:val="22"/>
        </w:rPr>
        <w:t xml:space="preserve">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Style w:val="969"/>
          <w:rFonts w:ascii="Times New Roman" w:hAnsi="Times New Roman"/>
          <w:b/>
          <w:sz w:val="22"/>
          <w:szCs w:val="22"/>
        </w:rPr>
      </w:pPr>
      <w:r>
        <w:rPr>
          <w:rStyle w:val="969"/>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 xml:space="preserve">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969"/>
          <w:rFonts w:ascii="Times New Roman" w:hAnsi="Times New Roman"/>
          <w:sz w:val="22"/>
          <w:szCs w:val="22"/>
        </w:rPr>
        <w:t xml:space="preserve">;</w:t>
      </w:r>
      <w:r>
        <w:rPr>
          <w:rStyle w:val="969"/>
          <w:rFonts w:ascii="Times New Roman" w:hAnsi="Times New Roman"/>
          <w:b/>
          <w:sz w:val="22"/>
          <w:szCs w:val="22"/>
        </w:rPr>
      </w:r>
      <w:r>
        <w:rPr>
          <w:rStyle w:val="969"/>
          <w:rFonts w:ascii="Times New Roman" w:hAnsi="Times New Roman"/>
          <w:b/>
          <w:sz w:val="22"/>
          <w:szCs w:val="22"/>
        </w:rPr>
      </w:r>
    </w:p>
    <w:p>
      <w:pPr>
        <w:pStyle w:val="980"/>
        <w:numPr>
          <w:ilvl w:val="1"/>
          <w:numId w:val="33"/>
        </w:numPr>
        <w:pBdr/>
        <w:spacing/>
        <w:ind w:hanging="636" w:left="993"/>
        <w:jc w:val="both"/>
        <w:rPr>
          <w:rStyle w:val="969"/>
          <w:rFonts w:ascii="Times New Roman" w:hAnsi="Times New Roman"/>
          <w:b/>
          <w:sz w:val="22"/>
          <w:szCs w:val="22"/>
        </w:rPr>
      </w:pPr>
      <w:r>
        <w:rPr>
          <w:rStyle w:val="969"/>
          <w:rFonts w:ascii="Times New Roman" w:hAnsi="Times New Roman"/>
          <w:sz w:val="22"/>
          <w:szCs w:val="22"/>
        </w:rPr>
        <w:t xml:space="preserve">восстановление информации из резервных копий информационных баз;</w:t>
      </w:r>
      <w:r>
        <w:rPr>
          <w:rStyle w:val="969"/>
          <w:rFonts w:ascii="Times New Roman" w:hAnsi="Times New Roman"/>
          <w:b/>
          <w:sz w:val="22"/>
          <w:szCs w:val="22"/>
        </w:rPr>
      </w:r>
      <w:r>
        <w:rPr>
          <w:rStyle w:val="969"/>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обновление форм утвержденной отчетности по мере их выхода;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 xml:space="preserve">ежемесячно, не позднее 28 числа каждого месяца;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Style w:val="969"/>
          <w:rFonts w:ascii="Times New Roman" w:hAnsi="Times New Roman"/>
          <w:b/>
          <w:sz w:val="22"/>
          <w:szCs w:val="22"/>
        </w:rPr>
      </w:pPr>
      <w:r>
        <w:rPr>
          <w:rStyle w:val="969"/>
          <w:rFonts w:ascii="Times New Roman" w:hAnsi="Times New Roman"/>
          <w:sz w:val="22"/>
          <w:szCs w:val="22"/>
        </w:rPr>
        <w:t xml:space="preserve">тестирование программного продукта после обновления на предмет нормальной работы, включая наработанный функционал;</w:t>
      </w:r>
      <w:r>
        <w:rPr>
          <w:rStyle w:val="969"/>
          <w:rFonts w:ascii="Times New Roman" w:hAnsi="Times New Roman"/>
          <w:b/>
          <w:sz w:val="22"/>
          <w:szCs w:val="22"/>
        </w:rPr>
      </w:r>
      <w:r>
        <w:rPr>
          <w:rStyle w:val="969"/>
          <w:rFonts w:ascii="Times New Roman" w:hAnsi="Times New Roman"/>
          <w:b/>
          <w:sz w:val="22"/>
          <w:szCs w:val="22"/>
        </w:rPr>
      </w:r>
    </w:p>
    <w:p>
      <w:pPr>
        <w:pStyle w:val="980"/>
        <w:numPr>
          <w:ilvl w:val="1"/>
          <w:numId w:val="33"/>
        </w:numPr>
        <w:pBdr/>
        <w:spacing/>
        <w:ind w:hanging="636" w:left="993"/>
        <w:jc w:val="both"/>
        <w:rPr>
          <w:rStyle w:val="970"/>
          <w:rFonts w:ascii="Times New Roman" w:hAnsi="Times New Roman"/>
          <w:b/>
          <w:sz w:val="22"/>
          <w:szCs w:val="22"/>
        </w:rPr>
      </w:pPr>
      <w:r>
        <w:rPr>
          <w:rStyle w:val="970"/>
          <w:rFonts w:ascii="Times New Roman" w:hAnsi="Times New Roman"/>
          <w:sz w:val="22"/>
          <w:szCs w:val="22"/>
        </w:rPr>
        <w:t xml:space="preserve">все доработки, установленные в программный продукт Заказчика, не должны быть изменены, потеряны;</w:t>
      </w:r>
      <w:r>
        <w:rPr>
          <w:rStyle w:val="970"/>
          <w:rFonts w:ascii="Times New Roman" w:hAnsi="Times New Roman"/>
          <w:b/>
          <w:sz w:val="22"/>
          <w:szCs w:val="22"/>
        </w:rPr>
      </w:r>
      <w:r>
        <w:rPr>
          <w:rStyle w:val="970"/>
          <w:rFonts w:ascii="Times New Roman" w:hAnsi="Times New Roman"/>
          <w:b/>
          <w:sz w:val="22"/>
          <w:szCs w:val="22"/>
        </w:rPr>
      </w:r>
    </w:p>
    <w:p>
      <w:pPr>
        <w:pStyle w:val="980"/>
        <w:numPr>
          <w:ilvl w:val="1"/>
          <w:numId w:val="33"/>
        </w:numPr>
        <w:pBdr/>
        <w:spacing/>
        <w:ind w:hanging="636" w:left="993"/>
        <w:jc w:val="both"/>
        <w:rPr>
          <w:rStyle w:val="970"/>
          <w:rFonts w:ascii="Times New Roman" w:hAnsi="Times New Roman"/>
          <w:b/>
          <w:sz w:val="22"/>
          <w:szCs w:val="22"/>
        </w:rPr>
      </w:pPr>
      <w:r>
        <w:rPr>
          <w:rStyle w:val="970"/>
          <w:rFonts w:ascii="Times New Roman" w:hAnsi="Times New Roman"/>
          <w:sz w:val="22"/>
          <w:szCs w:val="22"/>
        </w:rPr>
        <w:t xml:space="preserve">сохранение нетиповых функциональных возможностей при обновлении программного продукта;</w:t>
      </w:r>
      <w:r>
        <w:rPr>
          <w:rStyle w:val="970"/>
          <w:rFonts w:ascii="Times New Roman" w:hAnsi="Times New Roman"/>
          <w:b/>
          <w:sz w:val="22"/>
          <w:szCs w:val="22"/>
        </w:rPr>
      </w:r>
      <w:r>
        <w:rPr>
          <w:rStyle w:val="970"/>
          <w:rFonts w:ascii="Times New Roman" w:hAnsi="Times New Roman"/>
          <w:b/>
          <w:sz w:val="22"/>
          <w:szCs w:val="22"/>
        </w:rPr>
      </w:r>
    </w:p>
    <w:p>
      <w:pPr>
        <w:pStyle w:val="980"/>
        <w:numPr>
          <w:ilvl w:val="1"/>
          <w:numId w:val="33"/>
        </w:numPr>
        <w:pBdr/>
        <w:spacing/>
        <w:ind w:hanging="636" w:left="993"/>
        <w:jc w:val="both"/>
        <w:rPr>
          <w:rStyle w:val="969"/>
          <w:rFonts w:ascii="Times New Roman" w:hAnsi="Times New Roman"/>
          <w:b/>
          <w:sz w:val="22"/>
          <w:szCs w:val="22"/>
        </w:rPr>
      </w:pPr>
      <w:r>
        <w:rPr>
          <w:rStyle w:val="969"/>
          <w:rFonts w:ascii="Times New Roman" w:hAnsi="Times New Roman"/>
          <w:sz w:val="22"/>
          <w:szCs w:val="22"/>
        </w:rPr>
        <w:t xml:space="preserve">обеспечение нормальной работы программного продукта, в том числе после обновления и доработки;</w:t>
      </w:r>
      <w:r>
        <w:rPr>
          <w:rStyle w:val="969"/>
          <w:rFonts w:ascii="Times New Roman" w:hAnsi="Times New Roman"/>
          <w:b/>
          <w:sz w:val="22"/>
          <w:szCs w:val="22"/>
        </w:rPr>
      </w:r>
      <w:r>
        <w:rPr>
          <w:rStyle w:val="969"/>
          <w:rFonts w:ascii="Times New Roman" w:hAnsi="Times New Roman"/>
          <w:b/>
          <w:sz w:val="22"/>
          <w:szCs w:val="22"/>
        </w:rPr>
      </w:r>
    </w:p>
    <w:p>
      <w:pPr>
        <w:pStyle w:val="980"/>
        <w:numPr>
          <w:ilvl w:val="1"/>
          <w:numId w:val="33"/>
        </w:numPr>
        <w:pBdr/>
        <w:spacing/>
        <w:ind w:hanging="636" w:left="993"/>
        <w:jc w:val="both"/>
        <w:rPr>
          <w:rStyle w:val="969"/>
          <w:rFonts w:ascii="Times New Roman" w:hAnsi="Times New Roman"/>
          <w:b/>
          <w:sz w:val="22"/>
          <w:szCs w:val="22"/>
        </w:rPr>
      </w:pPr>
      <w:r>
        <w:rPr>
          <w:rStyle w:val="969"/>
          <w:rFonts w:ascii="Times New Roman" w:hAnsi="Times New Roman"/>
          <w:sz w:val="22"/>
          <w:szCs w:val="22"/>
        </w:rPr>
        <w:t xml:space="preserve">разграничение прав доступа пользователей программного продукта к хранимым в них данным и функционалу программного продукта;</w:t>
      </w:r>
      <w:r>
        <w:rPr>
          <w:rStyle w:val="969"/>
          <w:rFonts w:ascii="Times New Roman" w:hAnsi="Times New Roman"/>
          <w:b/>
          <w:sz w:val="22"/>
          <w:szCs w:val="22"/>
        </w:rPr>
      </w:r>
      <w:r>
        <w:rPr>
          <w:rStyle w:val="969"/>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повторная установка, настройка программного продукта в случае переустановки операционной системы, замены компьютера Заказчика;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 xml:space="preserve">IT</w:t>
      </w:r>
      <w:r>
        <w:rPr>
          <w:rFonts w:ascii="Times New Roman" w:hAnsi="Times New Roman"/>
          <w:sz w:val="22"/>
          <w:szCs w:val="22"/>
        </w:rPr>
        <w:t xml:space="preserve">-специалистов Заказчика по настройке и поддержанию работы программного продукта;</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подписка на Информационно-Технологическое Сопровождение (1С: КП ГУ ПРОФ) на 12 месяцев;</w:t>
      </w:r>
      <w:r>
        <w:rPr>
          <w:rFonts w:ascii="Times New Roman" w:hAnsi="Times New Roman"/>
          <w:b/>
          <w:sz w:val="22"/>
          <w:szCs w:val="22"/>
        </w:rPr>
      </w:r>
      <w:r>
        <w:rPr>
          <w:rFonts w:ascii="Times New Roman" w:hAnsi="Times New Roman"/>
          <w:b/>
          <w:sz w:val="22"/>
          <w:szCs w:val="22"/>
        </w:rPr>
      </w:r>
    </w:p>
    <w:p>
      <w:pPr>
        <w:pBdr/>
        <w:spacing/>
        <w:ind/>
        <w:jc w:val="both"/>
        <w:rPr>
          <w:rFonts w:ascii="Times New Roman" w:hAnsi="Times New Roman" w:eastAsia="Calibri"/>
          <w:color w:val="0d0d0d"/>
          <w:sz w:val="22"/>
          <w:szCs w:val="22"/>
        </w:rPr>
      </w:pPr>
      <w:r>
        <w:rPr>
          <w:rFonts w:ascii="Times New Roman" w:hAnsi="Times New Roman" w:eastAsia="Calibri"/>
          <w:color w:val="0d0d0d"/>
          <w:sz w:val="22"/>
          <w:szCs w:val="22"/>
        </w:rPr>
      </w:r>
      <w:r>
        <w:rPr>
          <w:rFonts w:ascii="Times New Roman" w:hAnsi="Times New Roman" w:eastAsia="Calibri"/>
          <w:color w:val="0d0d0d"/>
          <w:sz w:val="22"/>
          <w:szCs w:val="22"/>
        </w:rPr>
      </w:r>
      <w:r>
        <w:rPr>
          <w:rFonts w:ascii="Times New Roman" w:hAnsi="Times New Roman" w:eastAsia="Calibri"/>
          <w:color w:val="0d0d0d"/>
          <w:sz w:val="22"/>
          <w:szCs w:val="22"/>
        </w:rPr>
      </w:r>
    </w:p>
    <w:p>
      <w:pPr>
        <w:pBdr/>
        <w:tabs>
          <w:tab w:val="left" w:leader="none" w:pos="993"/>
        </w:tabs>
        <w:spacing/>
        <w:ind w:firstLine="567"/>
        <w:jc w:val="both"/>
        <w:rPr>
          <w:rFonts w:ascii="Times New Roman" w:hAnsi="Times New Roman" w:eastAsia="Calibri"/>
          <w:color w:val="000000"/>
          <w:sz w:val="22"/>
          <w:szCs w:val="22"/>
        </w:rPr>
      </w:pPr>
      <w:r>
        <w:rPr>
          <w:rFonts w:ascii="Times New Roman" w:hAnsi="Times New Roman" w:eastAsia="Calibri"/>
          <w:b/>
          <w:bCs/>
          <w:color w:val="000000"/>
          <w:sz w:val="22"/>
          <w:szCs w:val="22"/>
        </w:rPr>
        <w:t xml:space="preserve">Учет рабочего времени и выполненных работ</w:t>
      </w:r>
      <w:r>
        <w:rPr>
          <w:rFonts w:ascii="Times New Roman" w:hAnsi="Times New Roman" w:eastAsia="Calibri"/>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w:t>
      </w:r>
      <w:r>
        <w:rPr>
          <w:rFonts w:ascii="Times New Roman" w:hAnsi="Times New Roman" w:eastAsia="Calibri"/>
          <w:color w:val="000000"/>
          <w:sz w:val="22"/>
          <w:szCs w:val="22"/>
        </w:rPr>
        <w:t xml:space="preserve">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hAnsi="Times New Roman" w:eastAsia="Calibri"/>
          <w:b/>
          <w:color w:val="000000"/>
          <w:sz w:val="22"/>
          <w:szCs w:val="22"/>
        </w:rPr>
        <w:t xml:space="preserve">(поминутная тарификация)</w:t>
      </w:r>
      <w:r>
        <w:rPr>
          <w:rFonts w:ascii="Times New Roman" w:hAnsi="Times New Roman" w:eastAsia="Calibri"/>
          <w:color w:val="000000"/>
          <w:sz w:val="22"/>
          <w:szCs w:val="22"/>
        </w:rPr>
        <w:t xml:space="preserve">, оказанных данным специалистом Исполнителя за указанное в ЛУР</w:t>
      </w:r>
      <w:r>
        <w:rPr>
          <w:rFonts w:ascii="Times New Roman" w:hAnsi="Times New Roman" w:eastAsia="Calibri"/>
          <w:color w:val="000000"/>
          <w:sz w:val="22"/>
          <w:szCs w:val="22"/>
        </w:rPr>
        <w:t xml:space="preserve">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firstLine="567"/>
        <w:jc w:val="both"/>
        <w:rPr>
          <w:rFonts w:ascii="Times New Roman" w:hAnsi="Times New Roman" w:eastAsia="Calibri"/>
          <w:color w:val="0d0d0d"/>
          <w:sz w:val="22"/>
          <w:szCs w:val="22"/>
        </w:rPr>
      </w:pPr>
      <w:r>
        <w:rPr>
          <w:rFonts w:ascii="Times New Roman" w:hAnsi="Times New Roman"/>
          <w:sz w:val="22"/>
          <w:szCs w:val="22"/>
        </w:rPr>
      </w:r>
      <w:r>
        <w:rPr>
          <w:rFonts w:ascii="Times New Roman" w:hAnsi="Times New Roman" w:eastAsia="Times New Roman" w:cs="Times New Roman"/>
          <w:color w:val="0d0d0d"/>
          <w:sz w:val="22"/>
          <w:szCs w:val="22"/>
          <w:highlight w:val="yellow"/>
        </w:rPr>
        <w:t xml:space="preserve">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sz w:val="22"/>
          <w:szCs w:val="22"/>
        </w:rPr>
        <w:t xml:space="preserve">:</w:t>
      </w:r>
      <w:r>
        <w:rPr>
          <w:rFonts w:ascii="Times New Roman" w:hAnsi="Times New Roman" w:eastAsia="Calibri"/>
          <w:color w:val="0d0d0d"/>
          <w:sz w:val="22"/>
          <w:szCs w:val="22"/>
        </w:rPr>
      </w:r>
      <w:r>
        <w:rPr>
          <w:rFonts w:ascii="Times New Roman" w:hAnsi="Times New Roman" w:eastAsia="Calibri"/>
          <w:color w:val="0d0d0d"/>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bl>
      <w:tblPr>
        <w:tblW w:w="9345" w:type="dxa"/>
        <w:tblBorders/>
        <w:tblLayout w:type="fixed"/>
        <w:tblLook w:val="04A0" w:firstRow="1" w:lastRow="0" w:firstColumn="1" w:lastColumn="0" w:noHBand="0" w:noVBand="1"/>
        <w:tblStyle w:val="982"/>
      </w:tblPr>
      <w:tblGrid>
        <w:gridCol w:w="561"/>
        <w:gridCol w:w="2410"/>
        <w:gridCol w:w="6374"/>
      </w:tblGrid>
      <w:tr>
        <w:trPr/>
        <w:tc>
          <w:tcPr>
            <w:shd w:val="clear" w:color="auto" w:fill="f2f2f2" w:themeFill="background1" w:themeFillShade="F2"/>
            <w:tcBorders/>
            <w:tcW w:w="561"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Участок бухгалтерского учета</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6374"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Описание автоматизированных функций участка</w:t>
            </w:r>
            <w:r>
              <w:rPr>
                <w:rFonts w:ascii="Times New Roman" w:hAnsi="Times New Roman"/>
                <w:b/>
                <w:sz w:val="22"/>
                <w:szCs w:val="22"/>
              </w:rPr>
            </w:r>
            <w:r>
              <w:rPr>
                <w:rFonts w:ascii="Times New Roman" w:hAnsi="Times New Roman"/>
                <w:b/>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лиц, отбывающих наказание в ИУ (осужденных) и содержащихся в СИЗО (в том числе количественный) и их личных денег.</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0"/>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w:t>
            </w:r>
            <w:r>
              <w:rPr>
                <w:rFonts w:ascii="Times New Roman" w:hAnsi="Times New Roman" w:eastAsia="Times New Roman"/>
                <w:color w:val="000000"/>
                <w:sz w:val="22"/>
                <w:szCs w:val="22"/>
                <w:shd w:val="clear" w:color="auto" w:fill="ffffff"/>
              </w:rPr>
              <w:t xml:space="preserve">перации </w:t>
            </w:r>
            <w:r>
              <w:rPr>
                <w:rFonts w:ascii="Times New Roman" w:hAnsi="Times New Roman"/>
                <w:sz w:val="22"/>
                <w:szCs w:val="22"/>
              </w:rPr>
              <w:t xml:space="preserve">регистрации поступления, перемещения и выбытия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80"/>
              <w:numPr>
                <w:ilvl w:val="0"/>
                <w:numId w:val="1"/>
              </w:numPr>
              <w:pBdr/>
              <w:spacing/>
              <w:ind/>
              <w:rPr>
                <w:rFonts w:ascii="Times New Roman" w:hAnsi="Times New Roman"/>
                <w:sz w:val="22"/>
                <w:szCs w:val="22"/>
              </w:rPr>
            </w:pPr>
            <w:r>
              <w:rPr>
                <w:rFonts w:ascii="Times New Roman" w:hAnsi="Times New Roman"/>
                <w:sz w:val="22"/>
                <w:szCs w:val="22"/>
              </w:rPr>
              <w:t xml:space="preserve">операции регистрации исполнительных листов, их погашения и отзыва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80"/>
              <w:numPr>
                <w:ilvl w:val="0"/>
                <w:numId w:val="1"/>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расходования, которые можно оформить документами,</w:t>
            </w:r>
            <w:r>
              <w:rPr>
                <w:rFonts w:ascii="Times New Roman" w:hAnsi="Times New Roman"/>
                <w:sz w:val="22"/>
                <w:szCs w:val="22"/>
              </w:rPr>
            </w:r>
            <w:r>
              <w:rPr>
                <w:rFonts w:ascii="Times New Roman" w:hAnsi="Times New Roman"/>
                <w:sz w:val="22"/>
                <w:szCs w:val="22"/>
              </w:rPr>
            </w:r>
          </w:p>
          <w:p>
            <w:pPr>
              <w:pStyle w:val="980"/>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 xml:space="preserve">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78"/>
              <w:pBdr/>
              <w:spacing/>
              <w:ind/>
              <w:rPr>
                <w:rFonts w:ascii="Times New Roman" w:hAnsi="Times New Roman" w:cs="Times New Roman"/>
                <w:color w:val="000000"/>
                <w:sz w:val="22"/>
                <w:szCs w:val="22"/>
                <w:shd w:val="clear" w:color="auto" w:fill="ffffff"/>
              </w:rPr>
            </w:pPr>
            <w:r>
              <w:rPr>
                <w:rFonts w:ascii="Times New Roman" w:hAnsi="Times New Roman" w:eastAsia="Calibri"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0"/>
              <w:numPr>
                <w:ilvl w:val="0"/>
                <w:numId w:val="2"/>
              </w:numPr>
              <w:pBdr/>
              <w:spacing/>
              <w:ind/>
              <w:rPr>
                <w:rFonts w:ascii="Times New Roman" w:hAnsi="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w:t>
            </w:r>
            <w:r>
              <w:rPr>
                <w:rFonts w:ascii="Times New Roman" w:hAnsi="Times New Roman" w:eastAsia="Times New Roman"/>
                <w:color w:val="000000"/>
                <w:sz w:val="22"/>
                <w:szCs w:val="22"/>
                <w:shd w:val="clear" w:color="auto" w:fill="ffffff"/>
              </w:rPr>
              <w:t xml:space="preserve">бухгалтерскому учету),</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0"/>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справочник возрастных групп,</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0"/>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 xml:space="preserve">форме СП-51</w:t>
            </w:r>
            <w:r>
              <w:rPr>
                <w:rFonts w:ascii="Times New Roman" w:hAnsi="Times New Roman"/>
                <w:color w:val="000000"/>
                <w:sz w:val="22"/>
                <w:szCs w:val="22"/>
                <w:shd w:val="clear" w:color="auto" w:fill="ffffff"/>
              </w:rPr>
              <w:t xml:space="preserve">.</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 xml:space="preserve">давальческого сырья у переработчика</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0"/>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 xml:space="preserve">по 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olor w:val="000000"/>
                <w:sz w:val="22"/>
                <w:szCs w:val="22"/>
                <w:shd w:val="clear" w:color="auto" w:fill="ffffff"/>
              </w:rPr>
              <w:t xml:space="preserve">операц</w:t>
            </w:r>
            <w:r>
              <w:rPr>
                <w:rFonts w:ascii="Times New Roman" w:hAnsi="Times New Roman" w:eastAsia="Times New Roman"/>
                <w:color w:val="000000"/>
                <w:sz w:val="22"/>
                <w:szCs w:val="22"/>
                <w:shd w:val="clear" w:color="auto" w:fill="ffffff"/>
              </w:rPr>
              <w:t xml:space="preserve">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0"/>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ценностей осужденных</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eastAsia="Calibri"/>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Calibri"/>
                <w:sz w:val="22"/>
                <w:szCs w:val="22"/>
              </w:rPr>
              <w:t xml:space="preserve">ценностей, которые поступают в учреждения на время заключения осужденного.</w:t>
            </w:r>
            <w:r>
              <w:rPr>
                <w:rFonts w:ascii="Times New Roman" w:hAnsi="Times New Roman" w:eastAsia="Calibri"/>
                <w:sz w:val="22"/>
                <w:szCs w:val="22"/>
              </w:rPr>
            </w:r>
            <w:r>
              <w:rPr>
                <w:rFonts w:ascii="Times New Roman" w:hAnsi="Times New Roman" w:eastAsia="Calibri"/>
                <w:sz w:val="22"/>
                <w:szCs w:val="22"/>
              </w:rPr>
            </w:r>
          </w:p>
          <w:p>
            <w:p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0"/>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осужденных</w:t>
            </w:r>
            <w:r>
              <w:rPr>
                <w:rFonts w:ascii="Times New Roman" w:hAnsi="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0"/>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0"/>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Calibri"/>
                <w:sz w:val="22"/>
                <w:szCs w:val="22"/>
              </w:rPr>
              <w:t xml:space="preserve">Журнал регистрации кассовых ордеров по ценностям осужденных</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расхода ГСМ и путевых листов</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0"/>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информации </w:t>
            </w:r>
            <w:r>
              <w:rPr>
                <w:rFonts w:ascii="Times New Roman" w:hAnsi="Times New Roman"/>
                <w:sz w:val="22"/>
                <w:szCs w:val="22"/>
              </w:rPr>
              <w:t xml:space="preserve">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0"/>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0"/>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документ, являющийся первичным документом для учета пробега, маршрута автомобиля, расхода ГСМ, а также основанием для списания ГСМ. Документ</w:t>
            </w:r>
            <w:r>
              <w:rPr>
                <w:rFonts w:ascii="Times New Roman" w:hAnsi="Times New Roman"/>
                <w:sz w:val="22"/>
                <w:szCs w:val="22"/>
              </w:rPr>
              <w:t xml:space="preserve">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w:t>
            </w:r>
            <w:r>
              <w:rPr>
                <w:rFonts w:ascii="Times New Roman" w:hAnsi="Times New Roman"/>
                <w:sz w:val="22"/>
                <w:szCs w:val="22"/>
              </w:rPr>
              <w:t xml:space="preserve">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0"/>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формирования печатной формы акта на списание горюче-смазочных </w:t>
            </w:r>
            <w:r>
              <w:rPr>
                <w:rFonts w:ascii="Times New Roman" w:hAnsi="Times New Roman"/>
                <w:sz w:val="22"/>
                <w:szCs w:val="22"/>
              </w:rPr>
              <w:t xml:space="preserve">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вещевого обеспечения осужденных и сотрудников ФСИН.</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0"/>
              <w:numPr>
                <w:ilvl w:val="0"/>
                <w:numId w:val="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80"/>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sz w:val="22"/>
                <w:szCs w:val="22"/>
              </w:rPr>
            </w:r>
            <w:r>
              <w:rPr>
                <w:rFonts w:ascii="Times New Roman" w:hAnsi="Times New Roman"/>
                <w:sz w:val="22"/>
                <w:szCs w:val="22"/>
              </w:rPr>
            </w:r>
          </w:p>
          <w:p>
            <w:pPr>
              <w:pStyle w:val="980"/>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«Б/у вещевое обеспечение на скла</w:t>
            </w:r>
            <w:r>
              <w:rPr>
                <w:rFonts w:ascii="Times New Roman" w:hAnsi="Times New Roman"/>
                <w:color w:val="000000"/>
                <w:sz w:val="22"/>
                <w:szCs w:val="22"/>
                <w:shd w:val="clear" w:color="auto" w:fill="ffffff"/>
              </w:rPr>
              <w:t xml:space="preserve">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питания осужденных</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0"/>
              <w:numPr>
                <w:ilvl w:val="0"/>
                <w:numId w:val="7"/>
              </w:numPr>
              <w:pBdr/>
              <w:spacing/>
              <w:ind/>
              <w:rPr>
                <w:rFonts w:ascii="Times New Roman" w:hAnsi="Times New Roman"/>
                <w:sz w:val="22"/>
                <w:szCs w:val="22"/>
              </w:rPr>
            </w:pPr>
            <w:r>
              <w:rPr>
                <w:rFonts w:ascii="Times New Roman" w:hAnsi="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sz w:val="22"/>
                <w:szCs w:val="22"/>
              </w:rPr>
              <w:t xml:space="preserve">Меню-требование с возможностью вывода в разрезе приемов пищи</w:t>
            </w:r>
            <w:r>
              <w:rPr>
                <w:rFonts w:ascii="Times New Roman" w:hAnsi="Times New Roman" w:eastAsia="Times New Roman"/>
                <w:color w:val="000000"/>
                <w:sz w:val="22"/>
                <w:szCs w:val="22"/>
                <w:shd w:val="clear" w:color="auto" w:fill="ffffff"/>
              </w:rPr>
              <w:t xml:space="preserve">», «</w:t>
            </w:r>
            <w:r>
              <w:rPr>
                <w:rFonts w:ascii="Times New Roman" w:hAnsi="Times New Roman"/>
                <w:sz w:val="22"/>
                <w:szCs w:val="22"/>
              </w:rPr>
              <w:t xml:space="preserve">Котловой ордер</w:t>
            </w:r>
            <w:r>
              <w:rPr>
                <w:rFonts w:ascii="Times New Roman" w:hAnsi="Times New Roman" w:eastAsia="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80"/>
              <w:numPr>
                <w:ilvl w:val="0"/>
                <w:numId w:val="7"/>
              </w:numPr>
              <w:pBdr/>
              <w:spacing/>
              <w:ind/>
              <w:rPr>
                <w:rFonts w:ascii="Times New Roman" w:hAnsi="Times New Roman"/>
                <w:sz w:val="22"/>
                <w:szCs w:val="22"/>
              </w:rPr>
            </w:pPr>
            <w:r>
              <w:rPr>
                <w:rFonts w:ascii="Times New Roman" w:hAnsi="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sz w:val="22"/>
                <w:szCs w:val="22"/>
              </w:rPr>
            </w:r>
            <w:r>
              <w:rPr>
                <w:rFonts w:ascii="Times New Roman" w:hAnsi="Times New Roman"/>
                <w:sz w:val="22"/>
                <w:szCs w:val="22"/>
              </w:rPr>
            </w:r>
          </w:p>
          <w:p>
            <w:pPr>
              <w:pStyle w:val="980"/>
              <w:numPr>
                <w:ilvl w:val="0"/>
                <w:numId w:val="7"/>
              </w:numPr>
              <w:pBdr/>
              <w:spacing/>
              <w:ind/>
              <w:rPr>
                <w:rFonts w:ascii="Times New Roman" w:hAnsi="Times New Roman"/>
                <w:sz w:val="22"/>
                <w:szCs w:val="22"/>
              </w:rPr>
            </w:pPr>
            <w:r>
              <w:rPr>
                <w:rFonts w:ascii="Times New Roman" w:hAnsi="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sz w:val="22"/>
                <w:szCs w:val="22"/>
              </w:rPr>
            </w:r>
            <w:r>
              <w:rPr>
                <w:rFonts w:ascii="Times New Roman" w:hAnsi="Times New Roman"/>
                <w:sz w:val="22"/>
                <w:szCs w:val="22"/>
              </w:rPr>
            </w:r>
          </w:p>
          <w:p>
            <w:pPr>
              <w:pStyle w:val="980"/>
              <w:numPr>
                <w:ilvl w:val="0"/>
                <w:numId w:val="7"/>
              </w:numPr>
              <w:pBdr/>
              <w:spacing/>
              <w:ind/>
              <w:rPr>
                <w:rFonts w:ascii="Times New Roman" w:hAnsi="Times New Roman"/>
                <w:sz w:val="22"/>
                <w:szCs w:val="22"/>
              </w:rPr>
            </w:pPr>
            <w:r>
              <w:rPr>
                <w:rFonts w:ascii="Times New Roman" w:hAnsi="Times New Roman"/>
                <w:sz w:val="22"/>
                <w:szCs w:val="22"/>
              </w:rPr>
              <w:t xml:space="preserve">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w:t>
            </w:r>
            <w:r>
              <w:rPr>
                <w:rFonts w:ascii="Times New Roman" w:hAnsi="Times New Roman"/>
                <w:sz w:val="22"/>
                <w:szCs w:val="22"/>
              </w:rPr>
              <w:t xml:space="preserve">по поставщикам», «Расход продуктов по категориям довольствующихся».</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комиссионных товаров</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0"/>
              <w:numPr>
                <w:ilvl w:val="0"/>
                <w:numId w:val="8"/>
              </w:numPr>
              <w:pBdr/>
              <w:spacing/>
              <w:ind/>
              <w:jc w:val="both"/>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 xml:space="preserve">поступление комиссионных товаров, внутреннее перемещение, возврат и реализация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sz w:val="22"/>
                <w:szCs w:val="22"/>
              </w:rPr>
            </w:r>
            <w:r>
              <w:rPr>
                <w:rFonts w:ascii="Times New Roman" w:hAnsi="Times New Roman"/>
                <w:sz w:val="22"/>
                <w:szCs w:val="22"/>
              </w:rPr>
            </w:r>
          </w:p>
          <w:p>
            <w:pPr>
              <w:pStyle w:val="980"/>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sz w:val="22"/>
                <w:szCs w:val="22"/>
              </w:rPr>
            </w:r>
            <w:r>
              <w:rPr>
                <w:rFonts w:ascii="Times New Roman" w:hAnsi="Times New Roman"/>
                <w:sz w:val="22"/>
                <w:szCs w:val="22"/>
              </w:rPr>
            </w:r>
          </w:p>
          <w:p>
            <w:pPr>
              <w:pStyle w:val="980"/>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sz w:val="22"/>
                <w:szCs w:val="22"/>
              </w:rPr>
            </w:r>
            <w:r>
              <w:rPr>
                <w:rFonts w:ascii="Times New Roman" w:hAnsi="Times New Roman"/>
                <w:sz w:val="22"/>
                <w:szCs w:val="22"/>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производственной деятельности</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одним документом списывать сырье на несколько видов продукции,</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sz w:val="22"/>
                <w:szCs w:val="22"/>
              </w:rPr>
            </w:r>
            <w:r>
              <w:rPr>
                <w:rFonts w:ascii="Times New Roman" w:hAnsi="Times New Roman"/>
                <w:sz w:val="22"/>
                <w:szCs w:val="22"/>
              </w:rPr>
            </w:r>
          </w:p>
          <w:p>
            <w:pPr>
              <w:pStyle w:val="980"/>
              <w:numPr>
                <w:ilvl w:val="0"/>
                <w:numId w:val="9"/>
              </w:numPr>
              <w:pBdr/>
              <w:spacing/>
              <w:ind/>
              <w:jc w:val="both"/>
              <w:rPr>
                <w:rFonts w:ascii="Times New Roman" w:hAnsi="Times New Roman"/>
                <w:sz w:val="22"/>
                <w:szCs w:val="22"/>
              </w:rPr>
            </w:pPr>
            <w:r>
              <w:rPr>
                <w:rFonts w:ascii="Times New Roman" w:hAnsi="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t xml:space="preserve">Также в состав участка должны входить:</w:t>
            </w:r>
            <w:r>
              <w:rPr>
                <w:rFonts w:ascii="Times New Roman" w:hAnsi="Times New Roman"/>
                <w:sz w:val="22"/>
                <w:szCs w:val="22"/>
              </w:rPr>
            </w:r>
            <w:r>
              <w:rPr>
                <w:rFonts w:ascii="Times New Roman" w:hAnsi="Times New Roman"/>
                <w:sz w:val="22"/>
                <w:szCs w:val="22"/>
              </w:rPr>
            </w:r>
          </w:p>
          <w:p>
            <w:pPr>
              <w:pStyle w:val="980"/>
              <w:numPr>
                <w:ilvl w:val="0"/>
                <w:numId w:val="10"/>
              </w:numPr>
              <w:pBdr/>
              <w:spacing/>
              <w:ind/>
              <w:jc w:val="both"/>
              <w:rPr>
                <w:rFonts w:ascii="Times New Roman" w:hAnsi="Times New Roman"/>
                <w:sz w:val="22"/>
                <w:szCs w:val="22"/>
              </w:rPr>
            </w:pPr>
            <w:r>
              <w:rPr>
                <w:rFonts w:ascii="Times New Roman" w:hAnsi="Times New Roman"/>
                <w:sz w:val="22"/>
                <w:szCs w:val="22"/>
              </w:rPr>
              <w:t xml:space="preserve">отчеты (по калькуляции произведенной и реализованной продукции),</w:t>
            </w:r>
            <w:r>
              <w:rPr>
                <w:rFonts w:ascii="Times New Roman" w:hAnsi="Times New Roman"/>
                <w:sz w:val="22"/>
                <w:szCs w:val="22"/>
              </w:rPr>
            </w:r>
            <w:r>
              <w:rPr>
                <w:rFonts w:ascii="Times New Roman" w:hAnsi="Times New Roman"/>
                <w:sz w:val="22"/>
                <w:szCs w:val="22"/>
              </w:rPr>
            </w:r>
          </w:p>
          <w:p>
            <w:pPr>
              <w:pStyle w:val="980"/>
              <w:numPr>
                <w:ilvl w:val="0"/>
                <w:numId w:val="10"/>
              </w:numPr>
              <w:pBdr/>
              <w:spacing/>
              <w:ind/>
              <w:jc w:val="both"/>
              <w:rPr>
                <w:rFonts w:ascii="Times New Roman" w:hAnsi="Times New Roman"/>
                <w:sz w:val="22"/>
                <w:szCs w:val="22"/>
              </w:rPr>
            </w:pPr>
            <w:r>
              <w:rPr>
                <w:rFonts w:ascii="Times New Roman" w:hAnsi="Times New Roman"/>
                <w:sz w:val="22"/>
                <w:szCs w:val="22"/>
              </w:rPr>
              <w:t xml:space="preserve">документ «Калькуляция блюд», формирующий печатную форму «Калькуляционная карточка» и документы </w:t>
            </w:r>
            <w:r>
              <w:rPr>
                <w:rFonts w:ascii="Times New Roman" w:hAnsi="Times New Roman"/>
                <w:sz w:val="22"/>
                <w:szCs w:val="22"/>
              </w:rPr>
              <w:t xml:space="preserve">списания и внутреннего перемещения материалов,</w:t>
            </w:r>
            <w:r>
              <w:rPr>
                <w:rFonts w:ascii="Times New Roman" w:hAnsi="Times New Roman"/>
                <w:sz w:val="22"/>
                <w:szCs w:val="22"/>
              </w:rPr>
            </w:r>
            <w:r>
              <w:rPr>
                <w:rFonts w:ascii="Times New Roman" w:hAnsi="Times New Roman"/>
                <w:sz w:val="22"/>
                <w:szCs w:val="22"/>
              </w:rPr>
            </w:r>
          </w:p>
          <w:p>
            <w:pPr>
              <w:pStyle w:val="980"/>
              <w:numPr>
                <w:ilvl w:val="0"/>
                <w:numId w:val="10"/>
              </w:numPr>
              <w:pBdr/>
              <w:spacing/>
              <w:ind/>
              <w:jc w:val="both"/>
              <w:rPr>
                <w:rFonts w:ascii="Times New Roman" w:hAnsi="Times New Roman"/>
                <w:sz w:val="22"/>
                <w:szCs w:val="22"/>
              </w:rPr>
            </w:pPr>
            <w:r>
              <w:rPr>
                <w:rFonts w:ascii="Times New Roman" w:hAnsi="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Учетная политика учреждения</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На основании настроек и да</w:t>
            </w:r>
            <w:r>
              <w:rPr>
                <w:rFonts w:ascii="Times New Roman" w:hAnsi="Times New Roman"/>
                <w:sz w:val="22"/>
                <w:szCs w:val="22"/>
              </w:rPr>
              <w:t xml:space="preserve">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0"/>
              <w:numPr>
                <w:ilvl w:val="0"/>
                <w:numId w:val="14"/>
              </w:numPr>
              <w:pBdr/>
              <w:spacing/>
              <w:ind/>
              <w:jc w:val="both"/>
              <w:rPr>
                <w:rFonts w:ascii="Times New Roman" w:hAnsi="Times New Roman"/>
                <w:sz w:val="22"/>
                <w:szCs w:val="22"/>
              </w:rPr>
            </w:pPr>
            <w:r>
              <w:rPr>
                <w:rFonts w:ascii="Times New Roman" w:hAnsi="Times New Roman" w:eastAsia="Tahoma"/>
                <w:sz w:val="22"/>
                <w:szCs w:val="22"/>
              </w:rPr>
              <w:t xml:space="preserve">о</w:t>
            </w:r>
            <w:r>
              <w:rPr>
                <w:rFonts w:ascii="Times New Roman" w:hAnsi="Times New Roman"/>
                <w:sz w:val="22"/>
                <w:szCs w:val="22"/>
              </w:rPr>
              <w:t xml:space="preserve">тчет по контролю соответствия касс</w:t>
            </w:r>
            <w:r>
              <w:rPr>
                <w:rFonts w:ascii="Times New Roman" w:hAnsi="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sz w:val="22"/>
                <w:szCs w:val="22"/>
              </w:rPr>
            </w:r>
            <w:r>
              <w:rPr>
                <w:rFonts w:ascii="Times New Roman" w:hAnsi="Times New Roman"/>
                <w:sz w:val="22"/>
                <w:szCs w:val="22"/>
              </w:rPr>
            </w:r>
          </w:p>
          <w:p>
            <w:pPr>
              <w:pStyle w:val="980"/>
              <w:numPr>
                <w:ilvl w:val="0"/>
                <w:numId w:val="14"/>
              </w:numPr>
              <w:pBdr/>
              <w:spacing/>
              <w:ind/>
              <w:jc w:val="both"/>
              <w:rPr>
                <w:rFonts w:ascii="Times New Roman" w:hAnsi="Times New Roman"/>
                <w:sz w:val="22"/>
                <w:szCs w:val="22"/>
              </w:rPr>
            </w:pPr>
            <w:r>
              <w:rPr>
                <w:rFonts w:ascii="Times New Roman" w:hAnsi="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sz w:val="22"/>
                <w:szCs w:val="22"/>
              </w:rPr>
            </w:r>
            <w:r>
              <w:rPr>
                <w:rFonts w:ascii="Times New Roman" w:hAnsi="Times New Roman"/>
                <w:sz w:val="22"/>
                <w:szCs w:val="22"/>
              </w:rPr>
            </w:r>
          </w:p>
          <w:p>
            <w:pPr>
              <w:pStyle w:val="980"/>
              <w:numPr>
                <w:ilvl w:val="0"/>
                <w:numId w:val="11"/>
              </w:numPr>
              <w:pBdr/>
              <w:spacing/>
              <w:ind/>
              <w:jc w:val="both"/>
              <w:rPr>
                <w:rFonts w:ascii="Times New Roman" w:hAnsi="Times New Roman"/>
                <w:sz w:val="22"/>
                <w:szCs w:val="22"/>
              </w:rPr>
            </w:pPr>
            <w:r>
              <w:rPr>
                <w:rFonts w:ascii="Times New Roman" w:hAnsi="Times New Roman"/>
                <w:sz w:val="22"/>
                <w:szCs w:val="22"/>
              </w:rPr>
              <w:t xml:space="preserve">неправильному использованию расходного и доходного КПС;</w:t>
            </w:r>
            <w:r>
              <w:rPr>
                <w:rFonts w:ascii="Times New Roman" w:hAnsi="Times New Roman"/>
                <w:sz w:val="22"/>
                <w:szCs w:val="22"/>
              </w:rPr>
            </w:r>
            <w:r>
              <w:rPr>
                <w:rFonts w:ascii="Times New Roman" w:hAnsi="Times New Roman"/>
                <w:sz w:val="22"/>
                <w:szCs w:val="22"/>
              </w:rPr>
            </w:r>
          </w:p>
          <w:p>
            <w:pPr>
              <w:pStyle w:val="980"/>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с использованием счета 106;</w:t>
            </w:r>
            <w:r>
              <w:rPr>
                <w:rFonts w:ascii="Times New Roman" w:hAnsi="Times New Roman"/>
                <w:sz w:val="22"/>
                <w:szCs w:val="22"/>
              </w:rPr>
            </w:r>
            <w:r>
              <w:rPr>
                <w:rFonts w:ascii="Times New Roman" w:hAnsi="Times New Roman"/>
                <w:sz w:val="22"/>
                <w:szCs w:val="22"/>
              </w:rPr>
            </w:r>
          </w:p>
          <w:p>
            <w:pPr>
              <w:pStyle w:val="980"/>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sz w:val="22"/>
                <w:szCs w:val="22"/>
              </w:rPr>
            </w:r>
            <w:r>
              <w:rPr>
                <w:rFonts w:ascii="Times New Roman" w:hAnsi="Times New Roman"/>
                <w:sz w:val="22"/>
                <w:szCs w:val="22"/>
              </w:rPr>
            </w:r>
          </w:p>
          <w:p>
            <w:pPr>
              <w:pStyle w:val="980"/>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в которых КПС и КЭК по счету 401.10 и 401.20, 17.1 неверные;</w:t>
            </w:r>
            <w:r>
              <w:rPr>
                <w:rFonts w:ascii="Times New Roman" w:hAnsi="Times New Roman"/>
                <w:sz w:val="22"/>
                <w:szCs w:val="22"/>
              </w:rPr>
            </w:r>
            <w:r>
              <w:rPr>
                <w:rFonts w:ascii="Times New Roman" w:hAnsi="Times New Roman"/>
                <w:sz w:val="22"/>
                <w:szCs w:val="22"/>
              </w:rPr>
            </w:r>
          </w:p>
          <w:p>
            <w:pPr>
              <w:pStyle w:val="980"/>
              <w:numPr>
                <w:ilvl w:val="0"/>
                <w:numId w:val="11"/>
              </w:numPr>
              <w:pBdr/>
              <w:spacing/>
              <w:ind/>
              <w:jc w:val="both"/>
              <w:rPr>
                <w:rFonts w:ascii="Times New Roman" w:hAnsi="Times New Roman"/>
                <w:sz w:val="22"/>
                <w:szCs w:val="22"/>
              </w:rPr>
            </w:pPr>
            <w:r>
              <w:rPr>
                <w:rFonts w:ascii="Times New Roman" w:hAnsi="Times New Roman"/>
                <w:sz w:val="22"/>
                <w:szCs w:val="22"/>
              </w:rPr>
              <w:t xml:space="preserve">ОС отражаются ошибки, а именно:</w:t>
            </w:r>
            <w:r>
              <w:rPr>
                <w:rFonts w:ascii="Times New Roman" w:hAnsi="Times New Roman"/>
                <w:sz w:val="22"/>
                <w:szCs w:val="22"/>
              </w:rPr>
            </w:r>
            <w:r>
              <w:rPr>
                <w:rFonts w:ascii="Times New Roman" w:hAnsi="Times New Roman"/>
                <w:sz w:val="22"/>
                <w:szCs w:val="22"/>
              </w:rPr>
            </w:r>
          </w:p>
          <w:p>
            <w:pPr>
              <w:pStyle w:val="979"/>
              <w:pBdr/>
              <w:spacing/>
              <w:ind w:left="1418"/>
              <w:jc w:val="both"/>
              <w:rPr>
                <w:sz w:val="22"/>
                <w:szCs w:val="22"/>
              </w:rPr>
            </w:pPr>
            <w:r>
              <w:rPr>
                <w:sz w:val="22"/>
                <w:szCs w:val="22"/>
              </w:rPr>
              <w:t xml:space="preserve">а) по которым ведется учет не по одному КПС;</w:t>
            </w:r>
            <w:r>
              <w:rPr>
                <w:sz w:val="22"/>
                <w:szCs w:val="22"/>
              </w:rPr>
            </w:r>
            <w:r>
              <w:rPr>
                <w:sz w:val="22"/>
                <w:szCs w:val="22"/>
              </w:rPr>
            </w:r>
          </w:p>
          <w:p>
            <w:pPr>
              <w:pStyle w:val="979"/>
              <w:pBdr/>
              <w:spacing/>
              <w:ind w:left="1418"/>
              <w:jc w:val="both"/>
              <w:rPr>
                <w:sz w:val="22"/>
                <w:szCs w:val="22"/>
              </w:rPr>
            </w:pPr>
            <w:r>
              <w:rPr>
                <w:sz w:val="22"/>
                <w:szCs w:val="22"/>
              </w:rPr>
              <w:t xml:space="preserve">б) учета амортизации и балансовой стоимости в карточке ОС на счетах бухгалтерского учет</w:t>
            </w:r>
            <w:r>
              <w:rPr>
                <w:sz w:val="22"/>
                <w:szCs w:val="22"/>
              </w:rPr>
            </w:r>
            <w:r>
              <w:rPr>
                <w:sz w:val="22"/>
                <w:szCs w:val="22"/>
              </w:rPr>
            </w:r>
          </w:p>
          <w:p>
            <w:pPr>
              <w:pStyle w:val="979"/>
              <w:pBdr/>
              <w:spacing/>
              <w:ind w:left="1418"/>
              <w:jc w:val="both"/>
              <w:rPr>
                <w:sz w:val="22"/>
                <w:szCs w:val="22"/>
              </w:rPr>
            </w:pPr>
            <w:r>
              <w:rPr>
                <w:sz w:val="22"/>
                <w:szCs w:val="22"/>
              </w:rPr>
              <w:t xml:space="preserve">в) расчета начисленной амортизации.</w:t>
            </w:r>
            <w:r>
              <w:rPr>
                <w:sz w:val="22"/>
                <w:szCs w:val="22"/>
              </w:rPr>
            </w:r>
            <w:r>
              <w:rPr>
                <w:sz w:val="22"/>
                <w:szCs w:val="22"/>
              </w:rPr>
            </w:r>
          </w:p>
          <w:p>
            <w:pPr>
              <w:pStyle w:val="979"/>
              <w:numPr>
                <w:ilvl w:val="0"/>
                <w:numId w:val="12"/>
              </w:numPr>
              <w:pBdr/>
              <w:spacing/>
              <w:ind w:hanging="357" w:left="1139"/>
              <w:jc w:val="both"/>
              <w:rPr>
                <w:sz w:val="22"/>
                <w:szCs w:val="22"/>
              </w:rPr>
            </w:pPr>
            <w:r>
              <w:rPr>
                <w:sz w:val="22"/>
                <w:szCs w:val="22"/>
              </w:rPr>
              <w:t xml:space="preserve">операциям учета НДС;</w:t>
            </w:r>
            <w:r>
              <w:rPr>
                <w:sz w:val="22"/>
                <w:szCs w:val="22"/>
              </w:rPr>
            </w:r>
            <w:r>
              <w:rPr>
                <w:sz w:val="22"/>
                <w:szCs w:val="22"/>
              </w:rPr>
            </w:r>
          </w:p>
          <w:p>
            <w:pPr>
              <w:pStyle w:val="979"/>
              <w:numPr>
                <w:ilvl w:val="0"/>
                <w:numId w:val="12"/>
              </w:numPr>
              <w:pBdr/>
              <w:spacing/>
              <w:ind w:hanging="357" w:left="1139"/>
              <w:jc w:val="both"/>
              <w:rPr>
                <w:sz w:val="22"/>
                <w:szCs w:val="22"/>
              </w:rPr>
            </w:pPr>
            <w:r>
              <w:rPr>
                <w:sz w:val="22"/>
                <w:szCs w:val="22"/>
              </w:rPr>
              <w:t xml:space="preserve">операциям учета МЗ по фактической стоимости;</w:t>
            </w:r>
            <w:r>
              <w:rPr>
                <w:sz w:val="22"/>
                <w:szCs w:val="22"/>
              </w:rPr>
            </w:r>
            <w:r>
              <w:rPr>
                <w:sz w:val="22"/>
                <w:szCs w:val="22"/>
              </w:rPr>
            </w:r>
          </w:p>
          <w:p>
            <w:pPr>
              <w:pStyle w:val="979"/>
              <w:numPr>
                <w:ilvl w:val="0"/>
                <w:numId w:val="12"/>
              </w:numPr>
              <w:pBdr/>
              <w:spacing/>
              <w:ind w:hanging="357" w:left="1139"/>
              <w:jc w:val="both"/>
              <w:rPr>
                <w:sz w:val="22"/>
                <w:szCs w:val="22"/>
              </w:rPr>
            </w:pPr>
            <w:r>
              <w:rPr>
                <w:sz w:val="22"/>
                <w:szCs w:val="22"/>
              </w:rPr>
              <w:t xml:space="preserve">операциям, в которых отражается списание просроченной задолженности.</w:t>
            </w:r>
            <w:r>
              <w:rPr>
                <w:sz w:val="22"/>
                <w:szCs w:val="22"/>
              </w:rPr>
            </w:r>
            <w:r>
              <w:rPr>
                <w:sz w:val="22"/>
                <w:szCs w:val="22"/>
              </w:rPr>
            </w:r>
          </w:p>
          <w:p>
            <w:pPr>
              <w:pStyle w:val="979"/>
              <w:pBdr/>
              <w:spacing/>
              <w:ind w:left="1139"/>
              <w:jc w:val="both"/>
              <w:rPr>
                <w:sz w:val="22"/>
                <w:szCs w:val="22"/>
              </w:rPr>
            </w:pPr>
            <w:r>
              <w:rPr>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sz w:val="22"/>
                <w:szCs w:val="22"/>
              </w:rPr>
            </w:r>
            <w:r>
              <w:rPr>
                <w:sz w:val="22"/>
                <w:szCs w:val="22"/>
              </w:rPr>
            </w:r>
          </w:p>
          <w:p>
            <w:pPr>
              <w:pStyle w:val="979"/>
              <w:numPr>
                <w:ilvl w:val="0"/>
                <w:numId w:val="13"/>
              </w:numPr>
              <w:pBdr/>
              <w:spacing/>
              <w:ind/>
              <w:jc w:val="both"/>
              <w:rPr>
                <w:sz w:val="22"/>
                <w:szCs w:val="22"/>
              </w:rPr>
            </w:pPr>
            <w:r>
              <w:rPr>
                <w:rFonts w:eastAsia="Arial"/>
                <w:sz w:val="22"/>
                <w:szCs w:val="22"/>
              </w:rPr>
              <w:t xml:space="preserve">отчет «Анализ исполнения договоров с поставщиками», в котором д</w:t>
            </w:r>
            <w:r>
              <w:rPr>
                <w:sz w:val="22"/>
                <w:szCs w:val="22"/>
              </w:rPr>
              <w:t xml:space="preserve">анные выводятся в разрезе по контрагентам, </w:t>
            </w:r>
            <w:r>
              <w:rPr>
                <w:sz w:val="22"/>
                <w:szCs w:val="22"/>
              </w:rPr>
              <w:t xml:space="preserve">договорам, КФО, КПС, КЭК. В этом от</w:t>
            </w:r>
            <w:r>
              <w:rPr>
                <w:sz w:val="22"/>
                <w:szCs w:val="22"/>
              </w:rPr>
              <w:t xml:space="preserve">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r>
              <w:rPr>
                <w:sz w:val="22"/>
                <w:szCs w:val="22"/>
              </w:rPr>
            </w:r>
            <w:r>
              <w:rPr>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администрирования доходов</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0"/>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ahoma"/>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sz w:val="22"/>
                <w:szCs w:val="22"/>
              </w:rPr>
            </w:r>
            <w:r>
              <w:rPr>
                <w:rFonts w:ascii="Times New Roman" w:hAnsi="Times New Roman"/>
                <w:sz w:val="22"/>
                <w:szCs w:val="22"/>
              </w:rPr>
            </w:r>
          </w:p>
          <w:p>
            <w:pPr>
              <w:pStyle w:val="980"/>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sz w:val="22"/>
                <w:szCs w:val="22"/>
              </w:rPr>
            </w:r>
            <w:r>
              <w:rPr>
                <w:rFonts w:ascii="Times New Roman" w:hAnsi="Times New Roman"/>
                <w:sz w:val="22"/>
                <w:szCs w:val="22"/>
              </w:rPr>
            </w:r>
          </w:p>
          <w:p>
            <w:pPr>
              <w:pStyle w:val="980"/>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sz w:val="22"/>
                <w:szCs w:val="22"/>
              </w:rPr>
            </w:r>
            <w:r>
              <w:rPr>
                <w:rFonts w:ascii="Times New Roman" w:hAnsi="Times New Roman"/>
                <w:sz w:val="22"/>
                <w:szCs w:val="22"/>
              </w:rPr>
            </w:r>
          </w:p>
          <w:p>
            <w:pPr>
              <w:pStyle w:val="980"/>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r>
              <w:rPr>
                <w:rFonts w:ascii="Times New Roman" w:hAnsi="Times New Roman" w:eastAsia="Tahoma"/>
                <w:color w:val="000000"/>
                <w:sz w:val="22"/>
                <w:szCs w:val="22"/>
                <w:shd w:val="clear" w:color="auto" w:fill="ffffff"/>
              </w:rPr>
              <w:t xml:space="preserve">Дт</w:t>
            </w:r>
            <w:r>
              <w:rPr>
                <w:rFonts w:ascii="Times New Roman" w:hAnsi="Times New Roman" w:eastAsia="Tahoma"/>
                <w:color w:val="000000"/>
                <w:sz w:val="22"/>
                <w:szCs w:val="22"/>
                <w:shd w:val="clear" w:color="auto" w:fill="ffffff"/>
              </w:rPr>
              <w:t xml:space="preserve"> 205 </w:t>
            </w:r>
            <w:r>
              <w:rPr>
                <w:rFonts w:ascii="Times New Roman" w:hAnsi="Times New Roman" w:eastAsia="Tahoma"/>
                <w:color w:val="000000"/>
                <w:sz w:val="22"/>
                <w:szCs w:val="22"/>
                <w:shd w:val="clear" w:color="auto" w:fill="ffffff"/>
              </w:rPr>
              <w:t xml:space="preserve">Кт</w:t>
            </w:r>
            <w:r>
              <w:rPr>
                <w:rFonts w:ascii="Times New Roman" w:hAnsi="Times New Roman" w:eastAsia="Tahoma"/>
                <w:color w:val="000000"/>
                <w:sz w:val="22"/>
                <w:szCs w:val="22"/>
                <w:shd w:val="clear" w:color="auto" w:fill="ffffff"/>
              </w:rPr>
              <w:t xml:space="preserve"> 304.04),</w:t>
            </w:r>
            <w:r>
              <w:rPr>
                <w:rFonts w:ascii="Times New Roman" w:hAnsi="Times New Roman"/>
                <w:sz w:val="22"/>
                <w:szCs w:val="22"/>
              </w:rPr>
            </w:r>
            <w:r>
              <w:rPr>
                <w:rFonts w:ascii="Times New Roman" w:hAnsi="Times New Roman"/>
                <w:sz w:val="22"/>
                <w:szCs w:val="22"/>
              </w:rPr>
            </w:r>
          </w:p>
          <w:p>
            <w:pPr>
              <w:pStyle w:val="980"/>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Формирование бухгалтерской отчетности</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Style w:val="979"/>
              <w:pBdr/>
              <w:spacing/>
              <w:ind/>
              <w:jc w:val="both"/>
              <w:rPr>
                <w:sz w:val="22"/>
                <w:szCs w:val="22"/>
              </w:rPr>
            </w:pPr>
            <w:r>
              <w:rPr>
                <w:sz w:val="22"/>
                <w:szCs w:val="22"/>
              </w:rPr>
              <w:t xml:space="preserve">В программном продукте</w:t>
            </w:r>
            <w:r>
              <w:rPr>
                <w:b/>
                <w:bCs/>
                <w:sz w:val="22"/>
                <w:szCs w:val="22"/>
              </w:rPr>
              <w:t xml:space="preserve"> </w:t>
            </w:r>
            <w:r>
              <w:rPr>
                <w:rFonts w:eastAsia="Tahoma"/>
                <w:sz w:val="22"/>
                <w:szCs w:val="22"/>
              </w:rPr>
              <w:t xml:space="preserve">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sz w:val="22"/>
                <w:szCs w:val="22"/>
              </w:rPr>
            </w:r>
            <w:r>
              <w:rPr>
                <w:sz w:val="22"/>
                <w:szCs w:val="22"/>
              </w:rPr>
            </w:r>
          </w:p>
          <w:p>
            <w:pPr>
              <w:pBdr/>
              <w:tabs>
                <w:tab w:val="left" w:leader="none" w:pos="690"/>
              </w:tabs>
              <w:spacing/>
              <w:ind w:hanging="255"/>
              <w:jc w:val="both"/>
              <w:rPr>
                <w:rFonts w:ascii="Times New Roman" w:hAnsi="Times New Roman" w:eastAsia="Tahoma"/>
                <w:color w:val="000000"/>
                <w:sz w:val="22"/>
                <w:szCs w:val="22"/>
                <w:shd w:val="clear" w:color="auto" w:fill="ffffff"/>
              </w:rPr>
            </w:pPr>
            <w:r>
              <w:rPr>
                <w:rFonts w:ascii="Times New Roman" w:hAnsi="Times New Roman" w:eastAsia="Tahoma"/>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0"/>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выбор отчетов, которые входят в состав комплекта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0"/>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готовности данных в базе к формированию отчетов с выводом ошибок;</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0"/>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формирование отчетов согласно заданному комплекту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0"/>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контрольных соотношений;</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0"/>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печать и выгрузка отчетов.</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бланков строгой отчетности</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0"/>
              <w:numPr>
                <w:ilvl w:val="0"/>
                <w:numId w:val="1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 xml:space="preserve">поступление, внутреннее перемещение, списание и инвентаризация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80"/>
              <w:numPr>
                <w:ilvl w:val="0"/>
                <w:numId w:val="16"/>
              </w:numPr>
              <w:pBdr/>
              <w:spacing/>
              <w:ind/>
              <w:rPr>
                <w:rFonts w:ascii="Times New Roman" w:hAnsi="Times New Roman"/>
                <w:sz w:val="22"/>
                <w:szCs w:val="22"/>
              </w:rPr>
            </w:pPr>
            <w:r>
              <w:rPr>
                <w:rFonts w:ascii="Times New Roman" w:hAnsi="Times New Roman" w:eastAsia="Tahoma"/>
                <w:sz w:val="22"/>
                <w:szCs w:val="22"/>
              </w:rPr>
              <w:t xml:space="preserve">возможность вести учет бланков строгой отчетности, </w:t>
            </w:r>
            <w:r>
              <w:rPr>
                <w:rFonts w:ascii="Times New Roman" w:hAnsi="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w:t>
            </w:r>
            <w:r>
              <w:rPr>
                <w:rFonts w:ascii="Times New Roman" w:hAnsi="Times New Roman" w:eastAsia="Times New Roman"/>
                <w:sz w:val="22"/>
                <w:szCs w:val="22"/>
                <w:lang w:eastAsia="ru-RU"/>
              </w:rPr>
              <w:t xml:space="preserve">многофирменный</w:t>
            </w:r>
            <w:r>
              <w:rPr>
                <w:rFonts w:ascii="Times New Roman" w:hAnsi="Times New Roman" w:eastAsia="Times New Roman"/>
                <w:sz w:val="22"/>
                <w:szCs w:val="22"/>
                <w:lang w:eastAsia="ru-RU"/>
              </w:rPr>
              <w:t xml:space="preserve"> учет: расчет и учет зарплаты сотрудников, работающих в нескольких учреждениях;</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государственных служащих по группам и категориям;</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и начислять зарплату по каждому сотруднику с учетом КБК, источников финансирования, статей затрат;</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контролировать изменения начислений в предыдущих периодах, с возможностью автоматического перерасчета налогов;</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денежный аттестат при увольнении сотрудников;</w:t>
            </w:r>
            <w:r>
              <w:rPr>
                <w:rFonts w:ascii="Times New Roman" w:hAnsi="Times New Roman"/>
                <w:sz w:val="22"/>
                <w:szCs w:val="22"/>
              </w:rPr>
            </w:r>
            <w:r>
              <w:rPr>
                <w:rFonts w:ascii="Times New Roman" w:hAnsi="Times New Roman"/>
                <w:sz w:val="22"/>
                <w:szCs w:val="22"/>
              </w:rPr>
            </w:r>
          </w:p>
          <w:p>
            <w:pPr>
              <w:pStyle w:val="980"/>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выгрузку данных в ЕГИСЗ;</w:t>
            </w:r>
            <w:r>
              <w:rPr>
                <w:rFonts w:ascii="Times New Roman" w:hAnsi="Times New Roman"/>
                <w:sz w:val="22"/>
                <w:szCs w:val="22"/>
              </w:rPr>
            </w:r>
            <w:r>
              <w:rPr>
                <w:rFonts w:ascii="Times New Roman" w:hAnsi="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своды, ведомости, карточки, справки, расчетные листки;</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справки о доходах физического лица по форме № 2-НДФЛ; 6-НДФЛ</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afterAutospacing="1"/>
              <w:ind/>
              <w:rPr>
                <w:rFonts w:ascii="Tahoma" w:hAnsi="Tahoma" w:eastAsia="Times New Roman" w:cs="Tahoma"/>
                <w:color w:val="333333"/>
                <w:sz w:val="22"/>
                <w:szCs w:val="22"/>
              </w:rPr>
            </w:pPr>
            <w:r>
              <w:rPr>
                <w:rFonts w:ascii="Times New Roman" w:hAnsi="Times New Roman" w:eastAsia="Times New Roman"/>
                <w:sz w:val="22"/>
                <w:szCs w:val="22"/>
                <w:lang w:eastAsia="ru-RU"/>
              </w:rPr>
              <w:t xml:space="preserve">выводить расчетную ведомость по средствам социального страхования РФ (4-ФСС).</w:t>
            </w:r>
            <w:r>
              <w:rPr>
                <w:rFonts w:ascii="Tahoma" w:hAnsi="Tahoma" w:eastAsia="Times New Roman" w:cs="Tahoma"/>
                <w:color w:val="333333"/>
                <w:sz w:val="22"/>
                <w:szCs w:val="22"/>
              </w:rPr>
            </w:r>
            <w:r>
              <w:rPr>
                <w:rFonts w:ascii="Tahoma" w:hAnsi="Tahoma" w:eastAsia="Times New Roman" w:cs="Tahoma"/>
                <w:color w:val="333333"/>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санкционирования расходов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4" w:type="dxa"/>
            <w:textDirection w:val="lrTb"/>
            <w:noWrap w:val="false"/>
          </w:tcPr>
          <w:p>
            <w:pPr>
              <w:pBdr/>
              <w:shd w:val="clear" w:color="auto" w:fill="ffffff"/>
              <w:spacing w:after="45" w:beforeAutospacing="1"/>
              <w:ind/>
              <w:rPr>
                <w:rFonts w:ascii="Times New Roman" w:hAnsi="Times New Roman"/>
                <w:sz w:val="22"/>
                <w:szCs w:val="22"/>
              </w:rPr>
            </w:pPr>
            <w:r>
              <w:rPr>
                <w:rFonts w:ascii="Times New Roman" w:hAnsi="Times New Roman"/>
                <w:sz w:val="22"/>
                <w:szCs w:val="22"/>
              </w:rPr>
              <w:t xml:space="preserve">Автоматизация должна обеспечивать:</w:t>
            </w:r>
            <w:r>
              <w:rPr>
                <w:rFonts w:ascii="Times New Roman" w:hAnsi="Times New Roman"/>
                <w:sz w:val="22"/>
                <w:szCs w:val="22"/>
              </w:rPr>
            </w:r>
            <w:r>
              <w:rPr>
                <w:rFonts w:ascii="Times New Roman" w:hAnsi="Times New Roman"/>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сметных (плановых) назначений,</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отчета "План финансово-хозяйственной деятельности" по форме</w:t>
            </w:r>
            <w:r>
              <w:rPr>
                <w:rFonts w:ascii="Times New Roman" w:hAnsi="Times New Roman" w:eastAsia="Times New Roman"/>
                <w:color w:val="000000"/>
                <w:sz w:val="22"/>
                <w:szCs w:val="22"/>
                <w:lang w:eastAsia="ru-RU"/>
              </w:rPr>
              <w:t xml:space="preserve">,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и экспорт Сведений об операциях с целевыми субсидиями</w:t>
            </w:r>
            <w:r>
              <w:rPr>
                <w:rFonts w:ascii="Times New Roman" w:hAnsi="Times New Roman" w:eastAsia="Times New Roman"/>
                <w:color w:val="000000"/>
                <w:sz w:val="22"/>
                <w:szCs w:val="22"/>
                <w:lang w:eastAsia="ru-RU"/>
              </w:rPr>
              <w:t xml:space="preserve">,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при</w:t>
            </w:r>
            <w:r>
              <w:rPr>
                <w:rFonts w:ascii="Times New Roman" w:hAnsi="Times New Roman" w:eastAsia="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выплат по источникам финансирования дефицита бюджета над доведенными </w:t>
            </w:r>
            <w:r>
              <w:rPr>
                <w:rFonts w:ascii="Times New Roman" w:hAnsi="Times New Roman" w:eastAsia="Times New Roman"/>
                <w:color w:val="000000"/>
                <w:sz w:val="22"/>
                <w:szCs w:val="22"/>
                <w:lang w:eastAsia="ru-RU"/>
              </w:rPr>
              <w:t xml:space="preserve">бюджетными ассигнованиями,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утвержденными сметными (плановыми) назначениями,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перенос показателей по соответствующим аналитическим счетам с</w:t>
            </w:r>
            <w:r>
              <w:rPr>
                <w:rFonts w:ascii="Times New Roman" w:hAnsi="Times New Roman" w:eastAsia="Times New Roman"/>
                <w:color w:val="000000"/>
                <w:sz w:val="22"/>
                <w:szCs w:val="22"/>
                <w:lang w:eastAsia="ru-RU"/>
              </w:rPr>
              <w:t xml:space="preserve">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4" w:type="dxa"/>
            <w:textDirection w:val="lrTb"/>
            <w:noWrap w:val="false"/>
          </w:tcPr>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(ф. 0531801);</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(сокращенная) (ф. 0531851);</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Сводная заявка на кассовый расход (ф. 0531860);</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денег (ф. 0531802);</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(банковская карта) (ф. 0531844);</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возврат (ф. 0531803);</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аннулирование заявки (ф. 0531807);</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Уведомление об уточнении вида и принадлежности платежа (ф. 0531809);</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Платежное поручение (ф. 0401060);</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открытие лицевого счета (ф. 0510021);</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переоформление лицевого счета (ф. 0510025);</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закрытие лицевого счета (ф. 0510026);</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получение денежных чековых книжек (ф. 0531242) и др.</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Протокол органа казначейства (ф. 0531805);</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Расходное расписание (ф. 0531722);</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выяснение принадлежности платежа (ф. 0531808);</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Отчет о состоянии лицевого счета (различных видов).</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наличных денежных средств и денежных документов</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Требования к составу автоматизированных функций участка:</w:t>
            </w:r>
            <w:r>
              <w:rPr>
                <w:rFonts w:ascii="Times New Roman" w:hAnsi="Times New Roman"/>
                <w:sz w:val="22"/>
                <w:szCs w:val="22"/>
              </w:rPr>
            </w:r>
            <w:r>
              <w:rPr>
                <w:rFonts w:ascii="Times New Roman" w:hAnsi="Times New Roman"/>
                <w:sz w:val="22"/>
                <w:szCs w:val="22"/>
              </w:rPr>
            </w:r>
          </w:p>
          <w:p>
            <w:pPr>
              <w:pStyle w:val="980"/>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приходные и расходные кассовые ордера (ф. № КО-1 и № КО-2), объявления на взнос наличными (ф. 0402001) оформляются по типовым унифицированным формам. </w:t>
            </w:r>
            <w:r>
              <w:rPr>
                <w:rFonts w:ascii="Times New Roman" w:hAnsi="Times New Roman" w:eastAsia="Times New Roman"/>
                <w:color w:val="000000"/>
                <w:sz w:val="22"/>
                <w:szCs w:val="22"/>
                <w:lang w:eastAsia="ru-RU"/>
              </w:rPr>
              <w:t xml:space="preserve">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r>
              <w:rPr>
                <w:rFonts w:ascii="Times New Roman" w:hAnsi="Times New Roman"/>
                <w:sz w:val="22"/>
                <w:szCs w:val="22"/>
              </w:rPr>
            </w:r>
            <w:r>
              <w:rPr>
                <w:rFonts w:ascii="Times New Roman" w:hAnsi="Times New Roman"/>
                <w:sz w:val="22"/>
                <w:szCs w:val="22"/>
              </w:rPr>
            </w:r>
          </w:p>
          <w:p>
            <w:pPr>
              <w:pStyle w:val="980"/>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r>
              <w:rPr>
                <w:rFonts w:ascii="Times New Roman" w:hAnsi="Times New Roman"/>
                <w:sz w:val="22"/>
                <w:szCs w:val="22"/>
              </w:rPr>
            </w:r>
            <w:r>
              <w:rPr>
                <w:rFonts w:ascii="Times New Roman" w:hAnsi="Times New Roman"/>
                <w:sz w:val="22"/>
                <w:szCs w:val="22"/>
              </w:rPr>
            </w:r>
          </w:p>
          <w:p>
            <w:pPr>
              <w:pStyle w:val="980"/>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sz w:val="22"/>
                <w:szCs w:val="22"/>
              </w:rPr>
            </w:r>
            <w:r>
              <w:rPr>
                <w:rFonts w:ascii="Times New Roman" w:hAnsi="Times New Roman"/>
                <w:sz w:val="22"/>
                <w:szCs w:val="22"/>
              </w:rPr>
            </w:r>
          </w:p>
          <w:p>
            <w:pPr>
              <w:pStyle w:val="980"/>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sz w:val="22"/>
                <w:szCs w:val="22"/>
              </w:rPr>
            </w:r>
            <w:r>
              <w:rPr>
                <w:rFonts w:ascii="Times New Roman" w:hAnsi="Times New Roman"/>
                <w:sz w:val="22"/>
                <w:szCs w:val="22"/>
              </w:rPr>
            </w:r>
          </w:p>
          <w:p>
            <w:pPr>
              <w:pStyle w:val="980"/>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sz w:val="22"/>
                <w:szCs w:val="22"/>
              </w:rPr>
            </w:r>
            <w:r>
              <w:rPr>
                <w:rFonts w:ascii="Times New Roman" w:hAnsi="Times New Roman"/>
                <w:sz w:val="22"/>
                <w:szCs w:val="22"/>
              </w:rPr>
            </w:r>
          </w:p>
          <w:p>
            <w:pPr>
              <w:pStyle w:val="980"/>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sz w:val="22"/>
                <w:szCs w:val="22"/>
              </w:rPr>
            </w:r>
            <w:r>
              <w:rPr>
                <w:rFonts w:ascii="Times New Roman" w:hAnsi="Times New Roman"/>
                <w:sz w:val="22"/>
                <w:szCs w:val="22"/>
              </w:rPr>
            </w:r>
          </w:p>
          <w:p>
            <w:pPr>
              <w:pStyle w:val="980"/>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r>
              <w:rPr>
                <w:rFonts w:ascii="Times New Roman" w:hAnsi="Times New Roman" w:eastAsia="Times New Roman"/>
                <w:color w:val="000000"/>
                <w:sz w:val="22"/>
                <w:szCs w:val="22"/>
                <w:lang w:eastAsia="ru-RU"/>
              </w:rPr>
              <w:t xml:space="preserve">неучастников</w:t>
            </w:r>
            <w:r>
              <w:rPr>
                <w:rFonts w:ascii="Times New Roman" w:hAnsi="Times New Roman" w:eastAsia="Times New Roman"/>
                <w:color w:val="000000"/>
                <w:sz w:val="22"/>
                <w:szCs w:val="22"/>
                <w:lang w:eastAsia="ru-RU"/>
              </w:rPr>
              <w:t xml:space="preserve"> бюджетного процесса и уполномоченных подразделений с использованием карт,</w:t>
            </w:r>
            <w:r>
              <w:rPr>
                <w:rFonts w:ascii="Times New Roman" w:hAnsi="Times New Roman"/>
                <w:sz w:val="22"/>
                <w:szCs w:val="22"/>
              </w:rPr>
            </w:r>
            <w:r>
              <w:rPr>
                <w:rFonts w:ascii="Times New Roman" w:hAnsi="Times New Roman"/>
                <w:sz w:val="22"/>
                <w:szCs w:val="22"/>
              </w:rPr>
            </w:r>
          </w:p>
          <w:p>
            <w:pPr>
              <w:pStyle w:val="980"/>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оформление Заявления на получение денежных чековых книжек в органах Федерального казначейства (ф. 0531242), За</w:t>
            </w:r>
            <w:r>
              <w:rPr>
                <w:rFonts w:ascii="Times New Roman" w:hAnsi="Times New Roman" w:eastAsia="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sz w:val="22"/>
                <w:szCs w:val="22"/>
              </w:rPr>
            </w:r>
            <w:r>
              <w:rPr>
                <w:rFonts w:ascii="Times New Roman" w:hAnsi="Times New Roman"/>
                <w:sz w:val="22"/>
                <w:szCs w:val="22"/>
              </w:rPr>
            </w:r>
          </w:p>
          <w:p>
            <w:pPr>
              <w:pStyle w:val="980"/>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sz w:val="22"/>
                <w:szCs w:val="22"/>
              </w:rPr>
            </w:r>
            <w:r>
              <w:rPr>
                <w:rFonts w:ascii="Times New Roman" w:hAnsi="Times New Roman"/>
                <w:sz w:val="22"/>
                <w:szCs w:val="22"/>
              </w:rPr>
            </w:r>
          </w:p>
          <w:p>
            <w:pPr>
              <w:pStyle w:val="980"/>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w:t>
            </w:r>
            <w:r>
              <w:rPr>
                <w:rFonts w:ascii="Times New Roman" w:hAnsi="Times New Roman" w:eastAsia="Times New Roman"/>
                <w:color w:val="000000"/>
                <w:sz w:val="22"/>
                <w:szCs w:val="22"/>
                <w:lang w:eastAsia="ru-RU"/>
              </w:rPr>
              <w:t xml:space="preserve">инвентариза</w:t>
            </w:r>
            <w:r>
              <w:rPr>
                <w:rFonts w:ascii="Times New Roman" w:hAnsi="Times New Roman" w:eastAsia="Times New Roman"/>
                <w:color w:val="000000"/>
                <w:sz w:val="22"/>
                <w:szCs w:val="22"/>
                <w:lang w:eastAsia="ru-RU"/>
              </w:rPr>
              <w:t xml:space="preserve">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80"/>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нефинансовых активов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группового учета</w:t>
            </w:r>
            <w:r>
              <w:rPr>
                <w:rFonts w:ascii="Times New Roman" w:hAnsi="Times New Roman" w:eastAsia="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списания на расходы осн</w:t>
            </w:r>
            <w:r>
              <w:rPr>
                <w:rFonts w:ascii="Times New Roman" w:hAnsi="Times New Roman" w:eastAsia="Times New Roman"/>
                <w:sz w:val="22"/>
                <w:szCs w:val="22"/>
                <w:lang w:eastAsia="ru-RU"/>
              </w:rPr>
              <w:t xml:space="preserve">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автомати</w:t>
            </w:r>
            <w:r>
              <w:rPr>
                <w:rFonts w:ascii="Times New Roman" w:hAnsi="Times New Roman" w:eastAsia="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ввода на основании документов по поступлению НФА вводятся документы вида "Счет-фактура полученный" </w:t>
            </w:r>
            <w:r>
              <w:rPr>
                <w:rFonts w:ascii="Times New Roman" w:hAnsi="Times New Roman" w:eastAsia="Times New Roman"/>
                <w:sz w:val="22"/>
                <w:szCs w:val="22"/>
                <w:lang w:eastAsia="ru-RU"/>
              </w:rPr>
              <w:t xml:space="preserve">для регистрации счета-фактуры поставщика с целью формирования Книги покупок.</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отражения движения нефи</w:t>
            </w:r>
            <w:r>
              <w:rPr>
                <w:rFonts w:ascii="Times New Roman" w:hAnsi="Times New Roman" w:eastAsia="Times New Roman"/>
                <w:sz w:val="22"/>
                <w:szCs w:val="22"/>
                <w:lang w:eastAsia="ru-RU"/>
              </w:rPr>
              <w:t xml:space="preserve">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sz w:val="22"/>
                <w:szCs w:val="22"/>
              </w:rPr>
            </w:r>
            <w:r>
              <w:rPr>
                <w:rFonts w:ascii="Times New Roman" w:hAnsi="Times New Roman"/>
                <w:sz w:val="22"/>
                <w:szCs w:val="22"/>
              </w:rPr>
            </w:r>
          </w:p>
          <w:p>
            <w:pPr>
              <w:pStyle w:val="980"/>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поставщиками и подрядчиками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4"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особенности учета расчетов с пос</w:t>
            </w:r>
            <w:r>
              <w:rPr>
                <w:rFonts w:ascii="Times New Roman" w:hAnsi="Times New Roman" w:eastAsia="Times New Roman"/>
                <w:sz w:val="22"/>
                <w:szCs w:val="22"/>
                <w:lang w:eastAsia="ru-RU"/>
              </w:rPr>
              <w:t xml:space="preserve">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подотчетными лицами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расчеты с подотчетными лицами документируются с помощью соответствующих документов. Предусмотрено оформление заявления на выдачу подотчетной суммы, </w:t>
            </w:r>
            <w:r>
              <w:rPr>
                <w:rFonts w:ascii="Times New Roman" w:hAnsi="Times New Roman" w:eastAsia="Times New Roman"/>
                <w:sz w:val="22"/>
                <w:szCs w:val="22"/>
                <w:lang w:eastAsia="ru-RU"/>
              </w:rPr>
              <w:t xml:space="preserve">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покупателями и заказчиками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начисления</w:t>
            </w:r>
            <w:r>
              <w:rPr>
                <w:rFonts w:ascii="Times New Roman" w:hAnsi="Times New Roman" w:eastAsia="Times New Roman"/>
                <w:color w:val="000000"/>
                <w:sz w:val="22"/>
                <w:szCs w:val="22"/>
                <w:lang w:eastAsia="ru-RU"/>
              </w:rPr>
              <w:t xml:space="preserve">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по зачету полученных авансов,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7"/>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НДС</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4"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 возможности: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0"/>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раздельного учета сумм НДС, предъявле</w:t>
            </w:r>
            <w:r>
              <w:rPr>
                <w:rFonts w:ascii="Times New Roman" w:hAnsi="Times New Roman" w:eastAsia="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eastAsia="Times New Roman"/>
                <w:sz w:val="22"/>
                <w:szCs w:val="22"/>
              </w:rPr>
            </w:r>
            <w:r>
              <w:rPr>
                <w:rFonts w:ascii="Times New Roman" w:hAnsi="Times New Roman" w:eastAsia="Times New Roman"/>
                <w:sz w:val="22"/>
                <w:szCs w:val="22"/>
              </w:rPr>
            </w:r>
          </w:p>
          <w:p>
            <w:pPr>
              <w:pStyle w:val="980"/>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w:t>
            </w:r>
            <w:r>
              <w:rPr>
                <w:rFonts w:ascii="Times New Roman" w:hAnsi="Times New Roman" w:eastAsia="Times New Roman"/>
                <w:sz w:val="22"/>
                <w:szCs w:val="22"/>
                <w:lang w:eastAsia="ru-RU"/>
              </w:rPr>
              <w:t xml:space="preserve">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lang w:eastAsia="ru-RU"/>
              </w:rPr>
              <w:t xml:space="preserve">:</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также внереализационных доходов и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помощник "Ввод начальных данных налогового учета</w:t>
            </w:r>
            <w:r>
              <w:rPr>
                <w:rFonts w:ascii="Times New Roman" w:hAnsi="Times New Roman" w:eastAsia="Times New Roman"/>
                <w:color w:val="000000"/>
                <w:sz w:val="22"/>
                <w:szCs w:val="22"/>
                <w:lang w:eastAsia="ru-RU"/>
              </w:rPr>
              <w:t xml:space="preserve">", для того, чтобы</w:t>
            </w:r>
            <w:r>
              <w:rPr>
                <w:rFonts w:ascii="Times New Roman" w:hAnsi="Times New Roman" w:eastAsia="Times New Roman"/>
                <w:color w:val="000000"/>
                <w:sz w:val="22"/>
                <w:szCs w:val="22"/>
                <w:lang w:eastAsia="ru-RU"/>
              </w:rPr>
              <w:t xml:space="preserve"> можно было: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необходимые настройки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ввести входящие остатки на счета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1"/>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0"/>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Интеграция с ГИС ГМП и региональными системами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Взаимодействия с ГИС ГМП должно предусматривать: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w:t>
            </w:r>
            <w:r>
              <w:rPr>
                <w:rFonts w:ascii="Times New Roman" w:hAnsi="Times New Roman" w:eastAsia="Times New Roman"/>
                <w:color w:val="000000"/>
                <w:sz w:val="22"/>
                <w:szCs w:val="22"/>
                <w:lang w:eastAsia="ru-RU"/>
              </w:rPr>
              <w:t xml:space="preserve">платеже (как для себя, так и для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части взаимодействия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каталога предоставляемых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0"/>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bl>
    <w:p>
      <w:pPr>
        <w:pBdr/>
        <w:spacing w:after="113"/>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80"/>
        <w:numPr>
          <w:ilvl w:val="0"/>
          <w:numId w:val="33"/>
        </w:numPr>
        <w:pBdr/>
        <w:spacing w:after="113"/>
        <w:ind/>
        <w:jc w:val="center"/>
        <w:rPr>
          <w:rFonts w:ascii="Times New Roman" w:hAnsi="Times New Roman"/>
          <w:b/>
          <w:sz w:val="22"/>
          <w:szCs w:val="22"/>
        </w:rPr>
      </w:pPr>
      <w:r>
        <w:rPr>
          <w:rFonts w:ascii="Times New Roman" w:hAnsi="Times New Roman" w:eastAsia="Calibri"/>
          <w:b/>
          <w:bCs/>
          <w:color w:val="000000"/>
          <w:sz w:val="22"/>
          <w:szCs w:val="22"/>
        </w:rPr>
        <w:t xml:space="preserve">Требования к оказываемым услугам.</w:t>
      </w:r>
      <w:r>
        <w:rPr>
          <w:rFonts w:ascii="Times New Roman" w:hAnsi="Times New Roman"/>
          <w:b/>
          <w:sz w:val="22"/>
          <w:szCs w:val="22"/>
        </w:rPr>
      </w:r>
      <w:r>
        <w:rPr>
          <w:rFonts w:ascii="Times New Roman" w:hAnsi="Times New Roman"/>
          <w:b/>
          <w:sz w:val="22"/>
          <w:szCs w:val="22"/>
        </w:rPr>
      </w:r>
    </w:p>
    <w:p>
      <w:pPr>
        <w:pStyle w:val="980"/>
        <w:pBdr/>
        <w:spacing w:after="113"/>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80"/>
        <w:pBdr/>
        <w:spacing w:after="113"/>
        <w:ind w:left="360"/>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after="113"/>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Специалист. Платформа 1С: Предприятие 8.</w:t>
      </w:r>
      <w:r>
        <w:rPr>
          <w:rFonts w:ascii="Times New Roman" w:hAnsi="Times New Roman"/>
          <w:b/>
          <w:sz w:val="22"/>
          <w:szCs w:val="22"/>
        </w:rPr>
      </w:r>
      <w:r>
        <w:rPr>
          <w:rFonts w:ascii="Times New Roman" w:hAnsi="Times New Roman"/>
          <w:b/>
          <w:sz w:val="22"/>
          <w:szCs w:val="22"/>
        </w:rPr>
      </w:r>
    </w:p>
    <w:p>
      <w:pPr>
        <w:pStyle w:val="980"/>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Платформа 1С: Предприятие 8.2.</w:t>
      </w:r>
      <w:r>
        <w:rPr>
          <w:rFonts w:ascii="Times New Roman" w:hAnsi="Times New Roman"/>
          <w:b/>
          <w:sz w:val="22"/>
          <w:szCs w:val="22"/>
        </w:rPr>
      </w:r>
      <w:r>
        <w:rPr>
          <w:rFonts w:ascii="Times New Roman" w:hAnsi="Times New Roman"/>
          <w:b/>
          <w:sz w:val="22"/>
          <w:szCs w:val="22"/>
        </w:rPr>
      </w:r>
    </w:p>
    <w:p>
      <w:pPr>
        <w:pStyle w:val="980"/>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по программе «1С: Бухгалтерия государственного учреждения 8».</w:t>
      </w:r>
      <w:r>
        <w:rPr>
          <w:rFonts w:ascii="Times New Roman" w:hAnsi="Times New Roman"/>
          <w:b/>
          <w:sz w:val="22"/>
          <w:szCs w:val="22"/>
        </w:rPr>
      </w:r>
      <w:r>
        <w:rPr>
          <w:rFonts w:ascii="Times New Roman" w:hAnsi="Times New Roman"/>
          <w:b/>
          <w:sz w:val="22"/>
          <w:szCs w:val="22"/>
        </w:rPr>
      </w:r>
    </w:p>
    <w:p>
      <w:pPr>
        <w:pStyle w:val="980"/>
        <w:numPr>
          <w:ilvl w:val="0"/>
          <w:numId w:val="34"/>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КАМИН: Профессионал «Расчет заработной платы для бюджетных учреждений. Версия 3.5».</w:t>
      </w:r>
      <w:r>
        <w:rPr>
          <w:rFonts w:ascii="Times New Roman" w:hAnsi="Times New Roman"/>
          <w:b/>
          <w:sz w:val="22"/>
          <w:szCs w:val="22"/>
        </w:rPr>
      </w:r>
      <w:r>
        <w:rPr>
          <w:rFonts w:ascii="Times New Roman" w:hAnsi="Times New Roman"/>
          <w:b/>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статус официального партнера фирмы «1С»;</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Услуги оказываются собственными силами Исполнителя без привлечения 3-х лиц.</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доступ</w:t>
      </w:r>
      <w:r>
        <w:rPr>
          <w:rFonts w:ascii="Times New Roman" w:hAnsi="Times New Roman"/>
          <w:sz w:val="22"/>
          <w:szCs w:val="22"/>
        </w:rPr>
        <w:t xml:space="preserve"> </w:t>
      </w:r>
      <w:r>
        <w:rPr>
          <w:rFonts w:ascii="Times New Roman" w:hAnsi="Times New Roman" w:eastAsia="Calibri"/>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учреждений ФСИН».</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sz w:val="22"/>
          <w:szCs w:val="22"/>
        </w:rPr>
        <w:t xml:space="preserve">Место оказываемых услуг: лично Исполнителем по адресу получателя услуг либо дистанционно. Дистанционное подключение должно: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pBdr/>
        <w:spacing/>
        <w:ind w:left="1512"/>
        <w:jc w:val="both"/>
        <w:rPr>
          <w:rFonts w:ascii="Times New Roman" w:hAnsi="Times New Roman" w:eastAsia="Calibri"/>
          <w:color w:val="000000"/>
          <w:sz w:val="22"/>
          <w:szCs w:val="22"/>
        </w:rPr>
      </w:pPr>
      <w:r>
        <w:rPr>
          <w:rFonts w:ascii="Times New Roman" w:hAnsi="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быть реализованным с помощью защищенного удаленного доступа через внешние информационно-т</w:t>
      </w:r>
      <w:r>
        <w:rPr>
          <w:rFonts w:ascii="Times New Roman" w:hAnsi="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pBdr/>
        <w:spacing/>
        <w:ind w:left="1512"/>
        <w:jc w:val="both"/>
        <w:rPr>
          <w:rFonts w:ascii="Times New Roman" w:hAnsi="Times New Roman" w:eastAsia="Calibri"/>
          <w:color w:val="000000"/>
          <w:sz w:val="22"/>
          <w:szCs w:val="22"/>
        </w:rPr>
      </w:pPr>
      <w:r>
        <w:rPr>
          <w:rFonts w:ascii="Times New Roman" w:hAnsi="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pBdr/>
        <w:spacing/>
        <w:ind w:left="1512"/>
        <w:jc w:val="both"/>
        <w:rPr>
          <w:rFonts w:ascii="Times New Roman" w:hAnsi="Times New Roman" w:eastAsia="Calibri"/>
          <w:color w:val="000000"/>
          <w:sz w:val="22"/>
          <w:szCs w:val="22"/>
        </w:rPr>
      </w:pPr>
      <w:r>
        <w:rPr>
          <w:rFonts w:ascii="Times New Roman" w:hAnsi="Times New Roman"/>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sz w:val="22"/>
          <w:szCs w:val="22"/>
        </w:rPr>
        <w:t xml:space="preserve">Доступ к базе могут иметь только сотрудники, состоящие в штате.</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sz w:val="22"/>
          <w:szCs w:val="22"/>
        </w:rPr>
      </w:pPr>
      <w:r>
        <w:rPr>
          <w:rFonts w:ascii="Times New Roman" w:hAnsi="Times New Roman"/>
          <w:sz w:val="22"/>
          <w:szCs w:val="22"/>
        </w:rPr>
        <w:t xml:space="preserve">Отсутствие в реестре недобросовестных поставщиков.</w:t>
      </w:r>
      <w:r>
        <w:rPr>
          <w:rFonts w:ascii="Times New Roman" w:hAnsi="Times New Roman"/>
          <w:sz w:val="22"/>
          <w:szCs w:val="22"/>
        </w:rPr>
      </w:r>
      <w:r>
        <w:rPr>
          <w:rFonts w:ascii="Times New Roman" w:hAnsi="Times New Roman"/>
          <w:sz w:val="22"/>
          <w:szCs w:val="22"/>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sz w:val="22"/>
          <w:szCs w:val="22"/>
        </w:rPr>
      </w:r>
      <w:r>
        <w:rPr>
          <w:rFonts w:ascii="Times New Roman" w:hAnsi="Times New Roman" w:eastAsia="Times New Roman" w:cs="Times New Roman"/>
          <w:b w:val="0"/>
          <w:bCs w:val="0"/>
          <w:sz w:val="22"/>
          <w:szCs w:val="22"/>
          <w:highlight w:val="yellow"/>
        </w:rPr>
        <w:t xml:space="preserve">Стоим</w:t>
      </w:r>
      <w:r>
        <w:rPr>
          <w:rFonts w:ascii="Times New Roman" w:hAnsi="Times New Roman" w:eastAsia="Times New Roman" w:cs="Times New Roman"/>
          <w:b w:val="0"/>
          <w:bCs w:val="0"/>
          <w:sz w:val="22"/>
          <w:szCs w:val="22"/>
          <w:highlight w:val="yellow"/>
        </w:rPr>
        <w:t xml:space="preserve">ость</w:t>
      </w:r>
      <w:r>
        <w:rPr>
          <w:rFonts w:ascii="Times New Roman" w:hAnsi="Times New Roman" w:eastAsia="Times New Roman" w:cs="Times New Roman"/>
          <w:b w:val="0"/>
          <w:bCs w:val="0"/>
          <w:sz w:val="22"/>
          <w:szCs w:val="22"/>
          <w:highlight w:val="yellow"/>
        </w:rPr>
        <w:t xml:space="preserve"> </w:t>
      </w:r>
      <w:r>
        <w:rPr>
          <w:rFonts w:ascii="Times New Roman" w:hAnsi="Times New Roman" w:eastAsia="Times New Roman" w:cs="Times New Roman"/>
          <w:b w:val="0"/>
          <w:bCs w:val="0"/>
          <w:sz w:val="22"/>
          <w:szCs w:val="22"/>
          <w:highlight w:val="yellow"/>
        </w:rPr>
        <w:t xml:space="preserve">п</w:t>
      </w:r>
      <w:r>
        <w:rPr>
          <w:rFonts w:ascii="Times New Roman" w:hAnsi="Times New Roman" w:eastAsia="Times New Roman" w:cs="Times New Roman"/>
          <w:b w:val="0"/>
          <w:bCs w:val="0"/>
          <w:sz w:val="22"/>
          <w:szCs w:val="22"/>
          <w:highlight w:val="yellow"/>
        </w:rPr>
        <w:t xml:space="preserve">ере</w:t>
      </w:r>
      <w:r>
        <w:rPr>
          <w:rFonts w:ascii="Times New Roman" w:hAnsi="Times New Roman" w:eastAsia="Times New Roman" w:cs="Times New Roman"/>
          <w:b w:val="0"/>
          <w:bCs w:val="0"/>
          <w:sz w:val="22"/>
          <w:szCs w:val="22"/>
          <w:highlight w:val="yellow"/>
        </w:rPr>
        <w:t xml:space="preserve">дачи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 включая предоставление доступа к их получению- </w:t>
      </w:r>
      <w:r>
        <w:rPr>
          <w:rFonts w:ascii="Times New Roman" w:hAnsi="Times New Roman" w:eastAsia="Times New Roman" w:cs="Times New Roman"/>
          <w:bCs/>
          <w:sz w:val="22"/>
          <w:szCs w:val="22"/>
          <w:highlight w:val="yellow"/>
        </w:rPr>
        <w:t xml:space="preserve">104 080 (</w:t>
      </w:r>
      <w:r>
        <w:rPr>
          <w:rFonts w:ascii="Times New Roman" w:hAnsi="Times New Roman" w:eastAsia="Times New Roman" w:cs="Times New Roman"/>
          <w:bCs/>
          <w:sz w:val="22"/>
          <w:szCs w:val="22"/>
          <w:highlight w:val="yellow"/>
        </w:rPr>
        <w:t xml:space="preserve">сто четыре тысячи восемьдесят) рублей 00 копеек</w:t>
      </w:r>
      <w:r>
        <w:rPr>
          <w:rFonts w:ascii="Times New Roman" w:hAnsi="Times New Roman" w:eastAsia="Times New Roman" w:cs="Times New Roman"/>
          <w:bCs/>
          <w:sz w:val="22"/>
          <w:szCs w:val="22"/>
          <w:highlight w:val="yellow"/>
        </w:rPr>
        <w:t xml:space="preserve">, не облагается НДС (пп.26 п.2 ст.149 НК РФ).</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0"/>
        <w:numPr>
          <w:ilvl w:val="1"/>
          <w:numId w:val="33"/>
        </w:numPr>
        <w:pBdr/>
        <w:spacing/>
        <w:ind/>
        <w:jc w:val="both"/>
        <w:rPr>
          <w:rFonts w:ascii="Times New Roman" w:hAnsi="Times New Roman"/>
          <w:sz w:val="22"/>
          <w:szCs w:val="22"/>
        </w:rPr>
      </w:pPr>
      <w:r>
        <w:rPr>
          <w:rFonts w:ascii="Times New Roman" w:hAnsi="Times New Roman"/>
          <w:b/>
          <w:bCs/>
          <w:sz w:val="22"/>
          <w:szCs w:val="22"/>
        </w:rPr>
        <w:t xml:space="preserve">Объем оказываемых услуг:</w:t>
      </w:r>
      <w:r>
        <w:rPr>
          <w:rFonts w:ascii="Times New Roman" w:hAnsi="Times New Roman"/>
          <w:bCs/>
          <w:sz w:val="22"/>
          <w:szCs w:val="22"/>
        </w:rPr>
        <w:t xml:space="preserve"> ___ часа. </w:t>
      </w:r>
      <w:r>
        <w:rPr>
          <w:rFonts w:ascii="Times New Roman" w:hAnsi="Times New Roman"/>
          <w:sz w:val="22"/>
          <w:szCs w:val="22"/>
        </w:rPr>
      </w:r>
      <w:r>
        <w:rPr>
          <w:rFonts w:ascii="Times New Roman" w:hAnsi="Times New Roman"/>
          <w:sz w:val="22"/>
          <w:szCs w:val="22"/>
        </w:rPr>
      </w:r>
    </w:p>
    <w:p>
      <w:pPr>
        <w:pStyle w:val="980"/>
        <w:numPr>
          <w:ilvl w:val="1"/>
          <w:numId w:val="33"/>
        </w:numPr>
        <w:pBdr/>
        <w:spacing/>
        <w:ind/>
        <w:jc w:val="both"/>
        <w:rPr>
          <w:rFonts w:ascii="Times New Roman" w:hAnsi="Times New Roman" w:eastAsia="Times New Roman" w:cs="Times New Roman"/>
          <w:sz w:val="22"/>
          <w:szCs w:val="22"/>
          <w:highlight w:val="yellow"/>
        </w:rPr>
      </w:pPr>
      <w:r>
        <w:rPr>
          <w:rFonts w:ascii="Times New Roman" w:hAnsi="Times New Roman"/>
          <w:bCs/>
          <w:sz w:val="22"/>
          <w:szCs w:val="22"/>
        </w:rPr>
      </w:r>
      <w:r>
        <w:rPr>
          <w:rFonts w:ascii="Times New Roman" w:hAnsi="Times New Roman" w:eastAsia="Times New Roman" w:cs="Times New Roman"/>
          <w:b/>
          <w:bCs/>
          <w:sz w:val="22"/>
          <w:szCs w:val="22"/>
          <w:highlight w:val="yellow"/>
        </w:rPr>
        <w:t xml:space="preserve">Стоимость 1 часа оказываемых услуг:</w:t>
      </w:r>
      <w:r>
        <w:rPr>
          <w:rFonts w:ascii="Times New Roman" w:hAnsi="Times New Roman" w:eastAsia="Times New Roman" w:cs="Times New Roman"/>
          <w:bCs/>
          <w:sz w:val="22"/>
          <w:szCs w:val="22"/>
          <w:highlight w:val="yellow"/>
        </w:rPr>
        <w:t xml:space="preserve"> 2 </w:t>
      </w:r>
      <w:r>
        <w:rPr>
          <w:rFonts w:ascii="Times New Roman" w:hAnsi="Times New Roman" w:eastAsia="Times New Roman" w:cs="Times New Roman"/>
          <w:bCs/>
          <w:sz w:val="22"/>
          <w:szCs w:val="22"/>
          <w:highlight w:val="yellow"/>
        </w:rPr>
        <w:t xml:space="preserve">520</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две тысячи пятьсот двадцать) рублей 00 копеек</w:t>
      </w:r>
      <w:r>
        <w:rPr>
          <w:rFonts w:ascii="Times New Roman" w:hAnsi="Times New Roman" w:eastAsia="Times New Roman" w:cs="Times New Roman"/>
          <w:bCs/>
          <w:sz w:val="22"/>
          <w:szCs w:val="22"/>
          <w:highlight w:val="yellow"/>
        </w:rPr>
        <w:t xml:space="preserve">, 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eastAsia="Times New Roman" w:cs="Times New Roman"/>
          <w:sz w:val="22"/>
          <w:szCs w:val="22"/>
          <w:highlight w:val="yellow"/>
        </w:rPr>
      </w:r>
      <w:r>
        <w:rPr>
          <w:rFonts w:ascii="Times New Roman" w:hAnsi="Times New Roman" w:eastAsia="Times New Roman" w:cs="Times New Roman"/>
          <w:sz w:val="22"/>
          <w:szCs w:val="22"/>
          <w:highlight w:val="yellow"/>
        </w:rPr>
      </w:r>
    </w:p>
    <w:p>
      <w:pPr>
        <w:pStyle w:val="980"/>
        <w:numPr>
          <w:ilvl w:val="1"/>
          <w:numId w:val="33"/>
        </w:numPr>
        <w:pBdr/>
        <w:spacing/>
        <w:ind/>
        <w:jc w:val="both"/>
        <w:rPr>
          <w:rFonts w:ascii="Times New Roman" w:hAnsi="Times New Roman" w:eastAsia="Calibri"/>
          <w:color w:val="000000"/>
          <w:sz w:val="22"/>
          <w:szCs w:val="22"/>
        </w:rPr>
      </w:pPr>
      <w:r>
        <w:rPr>
          <w:rFonts w:ascii="Times New Roman" w:hAnsi="Times New Roman" w:eastAsia="Times New Roman" w:cs="Times New Roman"/>
          <w:sz w:val="22"/>
          <w:szCs w:val="22"/>
          <w:highlight w:val="yellow"/>
        </w:rPr>
      </w:r>
      <w:r>
        <w:rPr>
          <w:rFonts w:ascii="Times New Roman" w:hAnsi="Times New Roman"/>
          <w:sz w:val="22"/>
          <w:szCs w:val="22"/>
        </w:rPr>
        <w:t xml:space="preserve">Срок оказания услуг</w:t>
      </w:r>
      <w:r>
        <w:rPr>
          <w:rFonts w:ascii="Times New Roman" w:hAnsi="Times New Roman"/>
          <w:sz w:val="22"/>
          <w:szCs w:val="22"/>
        </w:rPr>
        <w:t xml:space="preserve">: После</w:t>
      </w:r>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bl>
      <w:tblPr>
        <w:tblW w:w="9345" w:type="dxa"/>
        <w:tblBorders/>
        <w:tblLayout w:type="fixed"/>
        <w:tblLook w:val="04A0" w:firstRow="1" w:lastRow="0" w:firstColumn="1" w:lastColumn="0" w:noHBand="0" w:noVBand="1"/>
        <w:tblStyle w:val="982"/>
      </w:tblPr>
      <w:tblGrid>
        <w:gridCol w:w="987"/>
        <w:gridCol w:w="2127"/>
        <w:gridCol w:w="1138"/>
        <w:gridCol w:w="420"/>
        <w:gridCol w:w="992"/>
        <w:gridCol w:w="1344"/>
        <w:gridCol w:w="779"/>
        <w:gridCol w:w="1558"/>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bCs/>
                <w:sz w:val="22"/>
                <w:szCs w:val="22"/>
              </w:rPr>
              <w:t xml:space="preserve">«Государственный заказчик»</w:t>
            </w:r>
            <w:r>
              <w:rPr>
                <w:rFonts w:ascii="Times New Roman" w:hAnsi="Times New Roman" w:eastAsia="Calibri"/>
                <w:b/>
                <w:color w:val="000000"/>
                <w:sz w:val="22"/>
                <w:szCs w:val="22"/>
              </w:rPr>
            </w:r>
            <w:r>
              <w:rPr>
                <w:rFonts w:ascii="Times New Roman" w:hAnsi="Times New Roman" w:eastAsia="Calibri"/>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sz w:val="22"/>
                <w:szCs w:val="22"/>
              </w:rPr>
              <w:t xml:space="preserve">«Исполнитель»</w:t>
            </w:r>
            <w:r>
              <w:rPr>
                <w:rFonts w:ascii="Times New Roman" w:hAnsi="Times New Roman" w:eastAsia="Calibri"/>
                <w:b/>
                <w:color w:val="000000"/>
                <w:sz w:val="22"/>
                <w:szCs w:val="22"/>
              </w:rPr>
            </w:r>
            <w:r>
              <w:rPr>
                <w:rFonts w:ascii="Times New Roman" w:hAnsi="Times New Roman" w:eastAsia="Calibri"/>
                <w:b/>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eastAsia="Calibri"/>
                <w:color w:val="000000"/>
                <w:sz w:val="22"/>
                <w:szCs w:val="22"/>
              </w:rPr>
            </w:pPr>
            <w:r>
              <w:rPr>
                <w:rFonts w:ascii="Times New Roman" w:hAnsi="Times New Roman"/>
                <w:sz w:val="22"/>
                <w:szCs w:val="22"/>
              </w:rPr>
              <w:t xml:space="preserve">Общество с ограниченной ответственностью «Бухучет сервис»</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Генеральный директор:</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А.Г. </w:t>
            </w:r>
            <w:r>
              <w:rPr>
                <w:rFonts w:ascii="Times New Roman" w:hAnsi="Times New Roman"/>
                <w:sz w:val="22"/>
                <w:szCs w:val="22"/>
              </w:rPr>
              <w:t xml:space="preserve">Корлыханов</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tcBorders>
              <w:top w:val="none" w:color="000000" w:sz="4" w:space="0"/>
              <w:left w:val="none" w:color="000000" w:sz="4" w:space="0"/>
              <w:bottom w:val="none" w:color="000000" w:sz="4" w:space="0"/>
              <w:right w:val="none" w:color="000000" w:sz="4" w:space="0"/>
            </w:tcBorders>
            <w:tcW w:w="98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right w:val="none" w:color="000000" w:sz="4" w:space="0"/>
            </w:tcBorders>
            <w:tcW w:w="212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right w:val="none" w:color="000000" w:sz="4" w:space="0"/>
            </w:tcBorders>
            <w:tcW w:w="212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155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r>
    </w:tbl>
    <w:p>
      <w:pPr>
        <w:pStyle w:val="979"/>
        <w:pBdr/>
        <w:spacing/>
        <w:ind/>
        <w:jc w:val="both"/>
        <w:rPr>
          <w:sz w:val="22"/>
          <w:szCs w:val="22"/>
        </w:rPr>
      </w:pPr>
      <w:r>
        <w:rPr>
          <w:sz w:val="22"/>
          <w:szCs w:val="22"/>
        </w:rPr>
      </w:r>
      <w:r>
        <w:rPr>
          <w:sz w:val="22"/>
          <w:szCs w:val="22"/>
        </w:rPr>
      </w:r>
      <w:r>
        <w:rPr>
          <w:sz w:val="22"/>
          <w:szCs w:val="22"/>
        </w:rPr>
      </w:r>
    </w:p>
    <w:p>
      <w:pPr>
        <w:pStyle w:val="979"/>
        <w:pBdr/>
        <w:spacing/>
        <w:ind/>
        <w:jc w:val="both"/>
        <w:rPr>
          <w:sz w:val="22"/>
          <w:szCs w:val="22"/>
        </w:rPr>
      </w:pPr>
      <w:r>
        <w:rPr>
          <w:sz w:val="22"/>
          <w:szCs w:val="22"/>
        </w:rPr>
      </w:r>
      <w:r>
        <w:rPr>
          <w:sz w:val="22"/>
          <w:szCs w:val="22"/>
        </w:rPr>
      </w:r>
      <w:r>
        <w:rPr>
          <w:sz w:val="22"/>
          <w:szCs w:val="22"/>
        </w:rPr>
      </w:r>
    </w:p>
    <w:p>
      <w:pPr>
        <w:pStyle w:val="978"/>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highlight w:val="none"/>
        </w:rPr>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rPr>
        <w:t xml:space="preserve">Приложение №2</w:t>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8"/>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9"/>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9"/>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9"/>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82"/>
      </w:tblPr>
      <w:tblGrid>
        <w:gridCol w:w="567"/>
        <w:gridCol w:w="2976"/>
        <w:gridCol w:w="1417"/>
        <w:gridCol w:w="1559"/>
        <w:gridCol w:w="1559"/>
        <w:gridCol w:w="1276"/>
      </w:tblGrid>
      <w:tr>
        <w:trPr>
          <w:trHeight w:val="846"/>
        </w:trPr>
        <w:tc>
          <w:tcPr>
            <w:tcBorders/>
            <w:tcW w:w="567"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559"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559"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643"/>
        </w:trPr>
        <w:tc>
          <w:tcPr>
            <w:tcBorders/>
            <w:tcW w:w="567"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textDirection w:val="lrTb"/>
            <w:noWrap w:val="false"/>
          </w:tcPr>
          <w:p>
            <w:pPr>
              <w:pStyle w:val="983"/>
              <w:pBdr/>
              <w:spacing/>
              <w:ind/>
              <w:rPr>
                <w:b w:val="0"/>
                <w:bCs w:val="0"/>
                <w:sz w:val="22"/>
                <w:szCs w:val="22"/>
                <w:highlight w:val="yellow"/>
              </w:rPr>
            </w:pPr>
            <w:r>
              <w:rPr>
                <w:rFonts w:ascii="Times New Roman" w:hAnsi="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включая предоставление доступа к их получению, сроком на 12 мес. Тариф ПРОФ.</w:t>
            </w:r>
            <w:r>
              <w:rPr>
                <w:b w:val="0"/>
                <w:bCs w:val="0"/>
                <w:sz w:val="22"/>
                <w:szCs w:val="22"/>
                <w:highlight w:val="yellow"/>
              </w:rPr>
            </w:r>
            <w:r>
              <w:rPr>
                <w:b w:val="0"/>
                <w:bCs w:val="0"/>
                <w:sz w:val="22"/>
                <w:szCs w:val="22"/>
                <w:highlight w:val="yellow"/>
              </w:rPr>
            </w:r>
          </w:p>
          <w:p>
            <w:pPr>
              <w:pStyle w:val="979"/>
              <w:pBdr/>
              <w:tabs>
                <w:tab w:val="left" w:leader="none" w:pos="6956"/>
              </w:tabs>
              <w:spacing/>
              <w:ind/>
              <w:jc w:val="center"/>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417"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559"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559" w:type="dxa"/>
            <w:textDirection w:val="lrTb"/>
            <w:noWrap w:val="false"/>
          </w:tcPr>
          <w:p>
            <w:pPr>
              <w:pStyle w:val="979"/>
              <w:pBdr/>
              <w:tabs>
                <w:tab w:val="left" w:leader="none" w:pos="6956"/>
              </w:tabs>
              <w:spacing/>
              <w:ind/>
              <w:jc w:val="center"/>
              <w:rPr>
                <w:rFonts w:ascii="Times New Roman" w:hAnsi="Times New Roman" w:eastAsia="Times New Roman" w:cs="Times New Roman"/>
                <w:sz w:val="22"/>
                <w:szCs w:val="22"/>
                <w:highlight w:val="yellow"/>
              </w:rPr>
            </w:pPr>
            <w:r>
              <w:rPr>
                <w:rFonts w:ascii="Times New Roman" w:hAnsi="Times New Roman" w:eastAsia="Times New Roman" w:cs="Times New Roman"/>
                <w:sz w:val="22"/>
                <w:szCs w:val="22"/>
                <w:highlight w:val="none"/>
              </w:rPr>
            </w:r>
            <w:r>
              <w:rPr>
                <w:rFonts w:ascii="Times New Roman" w:hAnsi="Times New Roman" w:eastAsia="Times New Roman" w:cs="Times New Roman"/>
                <w:bCs/>
                <w:sz w:val="22"/>
                <w:szCs w:val="22"/>
                <w:highlight w:val="yellow"/>
              </w:rPr>
              <w:t xml:space="preserve">104 080</w:t>
            </w:r>
            <w:r>
              <w:rPr>
                <w:rFonts w:ascii="Times New Roman" w:hAnsi="Times New Roman" w:cs="Times New Roman"/>
                <w:sz w:val="22"/>
                <w:szCs w:val="22"/>
                <w:highlight w:val="none"/>
              </w:rPr>
            </w:r>
            <w:r>
              <w:rPr>
                <w:rFonts w:ascii="Times New Roman" w:hAnsi="Times New Roman" w:eastAsia="Times New Roman" w:cs="Times New Roman"/>
                <w:sz w:val="22"/>
                <w:szCs w:val="22"/>
                <w:highlight w:val="yellow"/>
              </w:rPr>
            </w:r>
          </w:p>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bCs/>
                <w:sz w:val="22"/>
                <w:szCs w:val="22"/>
                <w:highlight w:val="none"/>
              </w:rPr>
              <w:t xml:space="preserve">(</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1586"/>
        </w:trPr>
        <w:tc>
          <w:tcPr>
            <w:tcBorders/>
            <w:tcW w:w="567" w:type="dxa"/>
            <w:vMerge w:val="restart"/>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vMerge w:val="restart"/>
            <w:textDirection w:val="lrTb"/>
            <w:noWrap w:val="false"/>
          </w:tcPr>
          <w:p>
            <w:pPr>
              <w:pStyle w:val="959"/>
              <w:pBdr/>
              <w:tabs>
                <w:tab w:val="left" w:leader="none" w:pos="993"/>
              </w:tabs>
              <w:spacing/>
              <w:ind/>
              <w:jc w:val="both"/>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Информационно-консультационное обслуживание программного продукта «Конфигурация для учреждений ФСИН» </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979"/>
              <w:pBdr/>
              <w:tabs>
                <w:tab w:val="left" w:leader="none" w:pos="6956"/>
              </w:tabs>
              <w:spacing/>
              <w:ind/>
              <w:jc w:val="center"/>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417" w:type="dxa"/>
            <w:vMerge w:val="restart"/>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час</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559" w:type="dxa"/>
            <w:vMerge w:val="restart"/>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559" w:type="dxa"/>
            <w:vMerge w:val="restart"/>
            <w:textDirection w:val="lrTb"/>
            <w:noWrap w:val="false"/>
          </w:tcPr>
          <w:p>
            <w:pPr>
              <w:pStyle w:val="979"/>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2 520</w:t>
            </w:r>
            <w:r>
              <w:rPr>
                <w:rFonts w:ascii="Times New Roman" w:hAnsi="Times New Roman" w:cs="Times New Roman"/>
                <w:sz w:val="22"/>
                <w:szCs w:val="22"/>
                <w:highlight w:val="none"/>
              </w:rPr>
            </w:r>
            <w:r>
              <w:rPr>
                <w:rFonts w:ascii="Times New Roman" w:hAnsi="Times New Roman" w:eastAsia="Times New Roman" w:cs="Times New Roman"/>
                <w:sz w:val="22"/>
                <w:szCs w:val="22"/>
                <w:highlight w:val="none"/>
              </w:rPr>
            </w:r>
          </w:p>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vMerge w:val="restart"/>
            <w:textDirection w:val="lrTb"/>
            <w:noWrap w:val="false"/>
          </w:tcPr>
          <w:p>
            <w:pPr>
              <w:pStyle w:val="979"/>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79"/>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79"/>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9"/>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9"/>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1983"/>
        </w:trPr>
        <w:tc>
          <w:tcPr>
            <w:tcBorders/>
            <w:tcW w:w="4928" w:type="dxa"/>
            <w:textDirection w:val="lrTb"/>
            <w:noWrap w:val="false"/>
          </w:tcPr>
          <w:p>
            <w:pPr>
              <w:pStyle w:val="984"/>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84"/>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84"/>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84"/>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84"/>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79"/>
        <w:pBdr/>
        <w:spacing/>
        <w:ind/>
        <w:jc w:val="both"/>
        <w:rPr>
          <w:sz w:val="22"/>
          <w:szCs w:val="22"/>
        </w:rPr>
      </w:pPr>
      <w:r>
        <w:rPr>
          <w:sz w:val="22"/>
          <w:szCs w:val="22"/>
        </w:rPr>
      </w:r>
      <w:r>
        <w:rPr>
          <w:sz w:val="22"/>
          <w:szCs w:val="22"/>
        </w:rPr>
      </w:r>
      <w:r>
        <w:rPr>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Symbol">
    <w:panose1 w:val="05050102010706020507"/>
  </w:font>
  <w:font w:name="Courier New">
    <w:panose1 w:val="02070309020205020404"/>
  </w:font>
  <w:font w:name="Wingdings">
    <w:panose1 w:val="05000000000000000000"/>
  </w:font>
  <w:font w:name="Liberation Sans">
    <w:panose1 w:val="020B0604020202020204"/>
  </w:font>
  <w:font w:name="Verdana">
    <w:panose1 w:val="020B060403050404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1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0">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3">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7">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7">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8">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num w:numId="1">
    <w:abstractNumId w:val="6"/>
  </w:num>
  <w:num w:numId="2">
    <w:abstractNumId w:val="34"/>
  </w:num>
  <w:num w:numId="3">
    <w:abstractNumId w:val="28"/>
  </w:num>
  <w:num w:numId="4">
    <w:abstractNumId w:val="35"/>
  </w:num>
  <w:num w:numId="5">
    <w:abstractNumId w:val="14"/>
  </w:num>
  <w:num w:numId="6">
    <w:abstractNumId w:val="26"/>
  </w:num>
  <w:num w:numId="7">
    <w:abstractNumId w:val="15"/>
  </w:num>
  <w:num w:numId="8">
    <w:abstractNumId w:val="9"/>
  </w:num>
  <w:num w:numId="9">
    <w:abstractNumId w:val="19"/>
  </w:num>
  <w:num w:numId="10">
    <w:abstractNumId w:val="3"/>
  </w:num>
  <w:num w:numId="11">
    <w:abstractNumId w:val="27"/>
  </w:num>
  <w:num w:numId="12">
    <w:abstractNumId w:val="16"/>
  </w:num>
  <w:num w:numId="13">
    <w:abstractNumId w:val="32"/>
  </w:num>
  <w:num w:numId="14">
    <w:abstractNumId w:val="31"/>
  </w:num>
  <w:num w:numId="15">
    <w:abstractNumId w:val="11"/>
  </w:num>
  <w:num w:numId="16">
    <w:abstractNumId w:val="1"/>
  </w:num>
  <w:num w:numId="17">
    <w:abstractNumId w:val="4"/>
  </w:num>
  <w:num w:numId="18">
    <w:abstractNumId w:val="5"/>
  </w:num>
  <w:num w:numId="19">
    <w:abstractNumId w:val="12"/>
  </w:num>
  <w:num w:numId="20">
    <w:abstractNumId w:val="7"/>
  </w:num>
  <w:num w:numId="21">
    <w:abstractNumId w:val="24"/>
  </w:num>
  <w:num w:numId="22">
    <w:abstractNumId w:val="0"/>
  </w:num>
  <w:num w:numId="23">
    <w:abstractNumId w:val="29"/>
  </w:num>
  <w:num w:numId="24">
    <w:abstractNumId w:val="30"/>
  </w:num>
  <w:num w:numId="25">
    <w:abstractNumId w:val="18"/>
  </w:num>
  <w:num w:numId="26">
    <w:abstractNumId w:val="33"/>
  </w:num>
  <w:num w:numId="27">
    <w:abstractNumId w:val="8"/>
  </w:num>
  <w:num w:numId="28">
    <w:abstractNumId w:val="13"/>
  </w:num>
  <w:num w:numId="29">
    <w:abstractNumId w:val="17"/>
  </w:num>
  <w:num w:numId="30">
    <w:abstractNumId w:val="2"/>
  </w:num>
  <w:num w:numId="31">
    <w:abstractNumId w:val="21"/>
  </w:num>
  <w:num w:numId="32">
    <w:abstractNumId w:val="25"/>
  </w:num>
  <w:num w:numId="33">
    <w:abstractNumId w:val="23"/>
  </w:num>
  <w:num w:numId="34">
    <w:abstractNumId w:val="10"/>
  </w:num>
  <w:num w:numId="35">
    <w:abstractNumId w:val="20"/>
  </w:num>
  <w:num w:numId="36">
    <w:abstractNumId w:val="22"/>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9">
    <w:name w:val="Table Grid Light"/>
    <w:basedOn w:val="96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1"/>
    <w:basedOn w:val="96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2"/>
    <w:basedOn w:val="96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3"/>
    <w:basedOn w:val="9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4"/>
    <w:basedOn w:val="9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5"/>
    <w:basedOn w:val="9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w:basedOn w:val="96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1"/>
    <w:basedOn w:val="96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2"/>
    <w:basedOn w:val="96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3"/>
    <w:basedOn w:val="96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4"/>
    <w:basedOn w:val="96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5"/>
    <w:basedOn w:val="96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6"/>
    <w:basedOn w:val="96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w:basedOn w:val="9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1"/>
    <w:basedOn w:val="96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2"/>
    <w:basedOn w:val="96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3"/>
    <w:basedOn w:val="96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4"/>
    <w:basedOn w:val="96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5"/>
    <w:basedOn w:val="96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6"/>
    <w:basedOn w:val="96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w:basedOn w:val="9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1"/>
    <w:basedOn w:val="96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2"/>
    <w:basedOn w:val="96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3"/>
    <w:basedOn w:val="96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4"/>
    <w:basedOn w:val="96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5"/>
    <w:basedOn w:val="96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6"/>
    <w:basedOn w:val="96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w:basedOn w:val="96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1"/>
    <w:basedOn w:val="96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2"/>
    <w:basedOn w:val="96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3"/>
    <w:basedOn w:val="96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4"/>
    <w:basedOn w:val="96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5"/>
    <w:basedOn w:val="96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6"/>
    <w:basedOn w:val="96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w:basedOn w:val="9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1"/>
    <w:basedOn w:val="9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2"/>
    <w:basedOn w:val="9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3"/>
    <w:basedOn w:val="9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Accent 4"/>
    <w:basedOn w:val="9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5"/>
    <w:basedOn w:val="9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6"/>
    <w:basedOn w:val="9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6 Colorful"/>
    <w:basedOn w:val="96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1">
    <w:name w:val="Grid Table 6 Colorful - Accent 1"/>
    <w:basedOn w:val="96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2">
    <w:name w:val="Grid Table 6 Colorful - Accent 2"/>
    <w:basedOn w:val="96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3">
    <w:name w:val="Grid Table 6 Colorful - Accent 3"/>
    <w:basedOn w:val="96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4">
    <w:name w:val="Grid Table 6 Colorful - Accent 4"/>
    <w:basedOn w:val="96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5">
    <w:name w:val="Grid Table 6 Colorful - Accent 5"/>
    <w:basedOn w:val="96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6">
    <w:name w:val="Grid Table 6 Colorful - Accent 6"/>
    <w:basedOn w:val="96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7">
    <w:name w:val="Grid Table 7 Colorful"/>
    <w:basedOn w:val="96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1"/>
    <w:basedOn w:val="96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2"/>
    <w:basedOn w:val="96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3"/>
    <w:basedOn w:val="96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4"/>
    <w:basedOn w:val="96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5"/>
    <w:basedOn w:val="96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6"/>
    <w:basedOn w:val="96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w:basedOn w:val="9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1"/>
    <w:basedOn w:val="9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2"/>
    <w:basedOn w:val="9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3"/>
    <w:basedOn w:val="9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4"/>
    <w:basedOn w:val="9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5"/>
    <w:basedOn w:val="9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6"/>
    <w:basedOn w:val="9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w:basedOn w:val="96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1"/>
    <w:basedOn w:val="96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2"/>
    <w:basedOn w:val="96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3"/>
    <w:basedOn w:val="96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4"/>
    <w:basedOn w:val="96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5"/>
    <w:basedOn w:val="96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6"/>
    <w:basedOn w:val="96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w:basedOn w:val="9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1"/>
    <w:basedOn w:val="96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2"/>
    <w:basedOn w:val="96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3"/>
    <w:basedOn w:val="96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4"/>
    <w:basedOn w:val="96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5"/>
    <w:basedOn w:val="96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6"/>
    <w:basedOn w:val="96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w:basedOn w:val="9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1"/>
    <w:basedOn w:val="96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2"/>
    <w:basedOn w:val="96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3"/>
    <w:basedOn w:val="96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4"/>
    <w:basedOn w:val="96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5"/>
    <w:basedOn w:val="96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6"/>
    <w:basedOn w:val="96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5 Dark"/>
    <w:basedOn w:val="96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1"/>
    <w:basedOn w:val="96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2"/>
    <w:basedOn w:val="96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3"/>
    <w:basedOn w:val="96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4"/>
    <w:basedOn w:val="96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5"/>
    <w:basedOn w:val="96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6"/>
    <w:basedOn w:val="96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6 Colorful"/>
    <w:basedOn w:val="96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1"/>
    <w:basedOn w:val="96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2"/>
    <w:basedOn w:val="96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3"/>
    <w:basedOn w:val="96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4"/>
    <w:basedOn w:val="96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5"/>
    <w:basedOn w:val="96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6"/>
    <w:basedOn w:val="96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7 Colorful"/>
    <w:basedOn w:val="96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7">
    <w:name w:val="List Table 7 Colorful - Accent 1"/>
    <w:basedOn w:val="96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8">
    <w:name w:val="List Table 7 Colorful - Accent 2"/>
    <w:basedOn w:val="96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9">
    <w:name w:val="List Table 7 Colorful - Accent 3"/>
    <w:basedOn w:val="96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80">
    <w:name w:val="List Table 7 Colorful - Accent 4"/>
    <w:basedOn w:val="96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1">
    <w:name w:val="List Table 7 Colorful - Accent 5"/>
    <w:basedOn w:val="96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82">
    <w:name w:val="List Table 7 Colorful - Accent 6"/>
    <w:basedOn w:val="96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3">
    <w:name w:val="Lined - Accent"/>
    <w:basedOn w:val="9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1"/>
    <w:basedOn w:val="9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2"/>
    <w:basedOn w:val="9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3"/>
    <w:basedOn w:val="9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4"/>
    <w:basedOn w:val="9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5"/>
    <w:basedOn w:val="9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6"/>
    <w:basedOn w:val="9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w:basedOn w:val="96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1"/>
    <w:basedOn w:val="96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2"/>
    <w:basedOn w:val="96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3"/>
    <w:basedOn w:val="96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4"/>
    <w:basedOn w:val="96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5"/>
    <w:basedOn w:val="96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6"/>
    <w:basedOn w:val="96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w:basedOn w:val="96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1"/>
    <w:basedOn w:val="96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2"/>
    <w:basedOn w:val="96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3"/>
    <w:basedOn w:val="96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4"/>
    <w:basedOn w:val="96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5"/>
    <w:basedOn w:val="96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6"/>
    <w:basedOn w:val="96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4">
    <w:name w:val="Heading 1"/>
    <w:basedOn w:val="959"/>
    <w:next w:val="959"/>
    <w:link w:val="91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5">
    <w:name w:val="Heading 2"/>
    <w:basedOn w:val="959"/>
    <w:next w:val="959"/>
    <w:link w:val="91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6">
    <w:name w:val="Heading 5"/>
    <w:basedOn w:val="959"/>
    <w:next w:val="959"/>
    <w:link w:val="91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7">
    <w:name w:val="Heading 6"/>
    <w:basedOn w:val="959"/>
    <w:next w:val="959"/>
    <w:link w:val="91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8">
    <w:name w:val="Heading 7"/>
    <w:basedOn w:val="959"/>
    <w:next w:val="959"/>
    <w:link w:val="91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9">
    <w:name w:val="Heading 8"/>
    <w:basedOn w:val="959"/>
    <w:next w:val="959"/>
    <w:link w:val="91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0">
    <w:name w:val="Heading 9"/>
    <w:basedOn w:val="959"/>
    <w:next w:val="959"/>
    <w:link w:val="91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1">
    <w:name w:val="Heading 1 Char"/>
    <w:basedOn w:val="962"/>
    <w:link w:val="904"/>
    <w:uiPriority w:val="9"/>
    <w:pPr>
      <w:pBdr/>
      <w:spacing/>
      <w:ind/>
    </w:pPr>
    <w:rPr>
      <w:rFonts w:ascii="Arial" w:hAnsi="Arial" w:eastAsia="Arial" w:cs="Arial"/>
      <w:color w:val="0f4761" w:themeColor="accent1" w:themeShade="BF"/>
      <w:sz w:val="40"/>
      <w:szCs w:val="40"/>
    </w:rPr>
  </w:style>
  <w:style w:type="character" w:styleId="912">
    <w:name w:val="Heading 2 Char"/>
    <w:basedOn w:val="962"/>
    <w:link w:val="905"/>
    <w:uiPriority w:val="9"/>
    <w:pPr>
      <w:pBdr/>
      <w:spacing/>
      <w:ind/>
    </w:pPr>
    <w:rPr>
      <w:rFonts w:ascii="Arial" w:hAnsi="Arial" w:eastAsia="Arial" w:cs="Arial"/>
      <w:color w:val="0f4761" w:themeColor="accent1" w:themeShade="BF"/>
      <w:sz w:val="32"/>
      <w:szCs w:val="32"/>
    </w:rPr>
  </w:style>
  <w:style w:type="character" w:styleId="913">
    <w:name w:val="Heading 3 Char"/>
    <w:basedOn w:val="962"/>
    <w:link w:val="960"/>
    <w:uiPriority w:val="9"/>
    <w:pPr>
      <w:pBdr/>
      <w:spacing/>
      <w:ind/>
    </w:pPr>
    <w:rPr>
      <w:rFonts w:ascii="Arial" w:hAnsi="Arial" w:eastAsia="Arial" w:cs="Arial"/>
      <w:color w:val="0f4761" w:themeColor="accent1" w:themeShade="BF"/>
      <w:sz w:val="28"/>
      <w:szCs w:val="28"/>
    </w:rPr>
  </w:style>
  <w:style w:type="character" w:styleId="914">
    <w:name w:val="Heading 4 Char"/>
    <w:basedOn w:val="962"/>
    <w:link w:val="961"/>
    <w:uiPriority w:val="9"/>
    <w:pPr>
      <w:pBdr/>
      <w:spacing/>
      <w:ind/>
    </w:pPr>
    <w:rPr>
      <w:rFonts w:ascii="Arial" w:hAnsi="Arial" w:eastAsia="Arial" w:cs="Arial"/>
      <w:i/>
      <w:iCs/>
      <w:color w:val="0f4761" w:themeColor="accent1" w:themeShade="BF"/>
    </w:rPr>
  </w:style>
  <w:style w:type="character" w:styleId="915">
    <w:name w:val="Heading 5 Char"/>
    <w:basedOn w:val="962"/>
    <w:link w:val="906"/>
    <w:uiPriority w:val="9"/>
    <w:pPr>
      <w:pBdr/>
      <w:spacing/>
      <w:ind/>
    </w:pPr>
    <w:rPr>
      <w:rFonts w:ascii="Arial" w:hAnsi="Arial" w:eastAsia="Arial" w:cs="Arial"/>
      <w:color w:val="0f4761" w:themeColor="accent1" w:themeShade="BF"/>
    </w:rPr>
  </w:style>
  <w:style w:type="character" w:styleId="916">
    <w:name w:val="Heading 6 Char"/>
    <w:basedOn w:val="962"/>
    <w:link w:val="907"/>
    <w:uiPriority w:val="9"/>
    <w:pPr>
      <w:pBdr/>
      <w:spacing/>
      <w:ind/>
    </w:pPr>
    <w:rPr>
      <w:rFonts w:ascii="Arial" w:hAnsi="Arial" w:eastAsia="Arial" w:cs="Arial"/>
      <w:i/>
      <w:iCs/>
      <w:color w:val="595959" w:themeColor="text1" w:themeTint="A6"/>
    </w:rPr>
  </w:style>
  <w:style w:type="character" w:styleId="917">
    <w:name w:val="Heading 7 Char"/>
    <w:basedOn w:val="962"/>
    <w:link w:val="908"/>
    <w:uiPriority w:val="9"/>
    <w:pPr>
      <w:pBdr/>
      <w:spacing/>
      <w:ind/>
    </w:pPr>
    <w:rPr>
      <w:rFonts w:ascii="Arial" w:hAnsi="Arial" w:eastAsia="Arial" w:cs="Arial"/>
      <w:color w:val="595959" w:themeColor="text1" w:themeTint="A6"/>
    </w:rPr>
  </w:style>
  <w:style w:type="character" w:styleId="918">
    <w:name w:val="Heading 8 Char"/>
    <w:basedOn w:val="962"/>
    <w:link w:val="909"/>
    <w:uiPriority w:val="9"/>
    <w:pPr>
      <w:pBdr/>
      <w:spacing/>
      <w:ind/>
    </w:pPr>
    <w:rPr>
      <w:rFonts w:ascii="Arial" w:hAnsi="Arial" w:eastAsia="Arial" w:cs="Arial"/>
      <w:i/>
      <w:iCs/>
      <w:color w:val="272727" w:themeColor="text1" w:themeTint="D8"/>
    </w:rPr>
  </w:style>
  <w:style w:type="character" w:styleId="919">
    <w:name w:val="Heading 9 Char"/>
    <w:basedOn w:val="962"/>
    <w:link w:val="910"/>
    <w:uiPriority w:val="9"/>
    <w:pPr>
      <w:pBdr/>
      <w:spacing/>
      <w:ind/>
    </w:pPr>
    <w:rPr>
      <w:rFonts w:ascii="Arial" w:hAnsi="Arial" w:eastAsia="Arial" w:cs="Arial"/>
      <w:i/>
      <w:iCs/>
      <w:color w:val="272727" w:themeColor="text1" w:themeTint="D8"/>
    </w:rPr>
  </w:style>
  <w:style w:type="character" w:styleId="920">
    <w:name w:val="Title Char"/>
    <w:basedOn w:val="962"/>
    <w:link w:val="971"/>
    <w:uiPriority w:val="10"/>
    <w:pPr>
      <w:pBdr/>
      <w:spacing/>
      <w:ind/>
    </w:pPr>
    <w:rPr>
      <w:rFonts w:ascii="Arial" w:hAnsi="Arial" w:eastAsia="Arial" w:cs="Arial"/>
      <w:spacing w:val="-10"/>
      <w:sz w:val="56"/>
      <w:szCs w:val="56"/>
    </w:rPr>
  </w:style>
  <w:style w:type="paragraph" w:styleId="921">
    <w:name w:val="Subtitle"/>
    <w:basedOn w:val="959"/>
    <w:next w:val="959"/>
    <w:link w:val="922"/>
    <w:uiPriority w:val="11"/>
    <w:qFormat/>
    <w:pPr>
      <w:numPr>
        <w:ilvl w:val="1"/>
      </w:numPr>
      <w:pBdr/>
      <w:spacing/>
      <w:ind/>
    </w:pPr>
    <w:rPr>
      <w:color w:val="595959" w:themeColor="text1" w:themeTint="A6"/>
      <w:spacing w:val="15"/>
      <w:sz w:val="28"/>
      <w:szCs w:val="28"/>
    </w:rPr>
  </w:style>
  <w:style w:type="character" w:styleId="922">
    <w:name w:val="Subtitle Char"/>
    <w:basedOn w:val="962"/>
    <w:link w:val="921"/>
    <w:uiPriority w:val="11"/>
    <w:pPr>
      <w:pBdr/>
      <w:spacing/>
      <w:ind/>
    </w:pPr>
    <w:rPr>
      <w:color w:val="595959" w:themeColor="text1" w:themeTint="A6"/>
      <w:spacing w:val="15"/>
      <w:sz w:val="28"/>
      <w:szCs w:val="28"/>
    </w:rPr>
  </w:style>
  <w:style w:type="paragraph" w:styleId="923">
    <w:name w:val="Quote"/>
    <w:basedOn w:val="959"/>
    <w:next w:val="959"/>
    <w:link w:val="924"/>
    <w:uiPriority w:val="29"/>
    <w:qFormat/>
    <w:pPr>
      <w:pBdr/>
      <w:spacing w:before="160"/>
      <w:ind/>
      <w:jc w:val="center"/>
    </w:pPr>
    <w:rPr>
      <w:i/>
      <w:iCs/>
      <w:color w:val="404040" w:themeColor="text1" w:themeTint="BF"/>
    </w:rPr>
  </w:style>
  <w:style w:type="character" w:styleId="924">
    <w:name w:val="Quote Char"/>
    <w:basedOn w:val="962"/>
    <w:link w:val="923"/>
    <w:uiPriority w:val="29"/>
    <w:pPr>
      <w:pBdr/>
      <w:spacing/>
      <w:ind/>
    </w:pPr>
    <w:rPr>
      <w:i/>
      <w:iCs/>
      <w:color w:val="404040" w:themeColor="text1" w:themeTint="BF"/>
    </w:rPr>
  </w:style>
  <w:style w:type="character" w:styleId="925">
    <w:name w:val="Intense Emphasis"/>
    <w:basedOn w:val="962"/>
    <w:uiPriority w:val="21"/>
    <w:qFormat/>
    <w:pPr>
      <w:pBdr/>
      <w:spacing/>
      <w:ind/>
    </w:pPr>
    <w:rPr>
      <w:i/>
      <w:iCs/>
      <w:color w:val="0f4761" w:themeColor="accent1" w:themeShade="BF"/>
    </w:rPr>
  </w:style>
  <w:style w:type="paragraph" w:styleId="926">
    <w:name w:val="Intense Quote"/>
    <w:basedOn w:val="959"/>
    <w:next w:val="959"/>
    <w:link w:val="92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7">
    <w:name w:val="Intense Quote Char"/>
    <w:basedOn w:val="962"/>
    <w:link w:val="926"/>
    <w:uiPriority w:val="30"/>
    <w:pPr>
      <w:pBdr/>
      <w:spacing/>
      <w:ind/>
    </w:pPr>
    <w:rPr>
      <w:i/>
      <w:iCs/>
      <w:color w:val="0f4761" w:themeColor="accent1" w:themeShade="BF"/>
    </w:rPr>
  </w:style>
  <w:style w:type="character" w:styleId="928">
    <w:name w:val="Intense Reference"/>
    <w:basedOn w:val="962"/>
    <w:uiPriority w:val="32"/>
    <w:qFormat/>
    <w:pPr>
      <w:pBdr/>
      <w:spacing/>
      <w:ind/>
    </w:pPr>
    <w:rPr>
      <w:b/>
      <w:bCs/>
      <w:smallCaps/>
      <w:color w:val="0f4761" w:themeColor="accent1" w:themeShade="BF"/>
      <w:spacing w:val="5"/>
    </w:rPr>
  </w:style>
  <w:style w:type="paragraph" w:styleId="929">
    <w:name w:val="No Spacing"/>
    <w:basedOn w:val="959"/>
    <w:uiPriority w:val="1"/>
    <w:qFormat/>
    <w:pPr>
      <w:pBdr/>
      <w:spacing w:after="0" w:line="240" w:lineRule="auto"/>
      <w:ind/>
    </w:pPr>
  </w:style>
  <w:style w:type="character" w:styleId="930">
    <w:name w:val="Subtle Emphasis"/>
    <w:basedOn w:val="962"/>
    <w:uiPriority w:val="19"/>
    <w:qFormat/>
    <w:pPr>
      <w:pBdr/>
      <w:spacing/>
      <w:ind/>
    </w:pPr>
    <w:rPr>
      <w:i/>
      <w:iCs/>
      <w:color w:val="404040" w:themeColor="text1" w:themeTint="BF"/>
    </w:rPr>
  </w:style>
  <w:style w:type="character" w:styleId="931">
    <w:name w:val="Emphasis"/>
    <w:basedOn w:val="962"/>
    <w:uiPriority w:val="20"/>
    <w:qFormat/>
    <w:pPr>
      <w:pBdr/>
      <w:spacing/>
      <w:ind/>
    </w:pPr>
    <w:rPr>
      <w:i/>
      <w:iCs/>
    </w:rPr>
  </w:style>
  <w:style w:type="character" w:styleId="932">
    <w:name w:val="Strong"/>
    <w:basedOn w:val="962"/>
    <w:uiPriority w:val="22"/>
    <w:qFormat/>
    <w:pPr>
      <w:pBdr/>
      <w:spacing/>
      <w:ind/>
    </w:pPr>
    <w:rPr>
      <w:b/>
      <w:bCs/>
    </w:rPr>
  </w:style>
  <w:style w:type="character" w:styleId="933">
    <w:name w:val="Subtle Reference"/>
    <w:basedOn w:val="962"/>
    <w:uiPriority w:val="31"/>
    <w:qFormat/>
    <w:pPr>
      <w:pBdr/>
      <w:spacing/>
      <w:ind/>
    </w:pPr>
    <w:rPr>
      <w:smallCaps/>
      <w:color w:val="5a5a5a" w:themeColor="text1" w:themeTint="A5"/>
    </w:rPr>
  </w:style>
  <w:style w:type="character" w:styleId="934">
    <w:name w:val="Book Title"/>
    <w:basedOn w:val="962"/>
    <w:uiPriority w:val="33"/>
    <w:qFormat/>
    <w:pPr>
      <w:pBdr/>
      <w:spacing/>
      <w:ind/>
    </w:pPr>
    <w:rPr>
      <w:b/>
      <w:bCs/>
      <w:i/>
      <w:iCs/>
      <w:spacing w:val="5"/>
    </w:rPr>
  </w:style>
  <w:style w:type="paragraph" w:styleId="935">
    <w:name w:val="Header"/>
    <w:basedOn w:val="959"/>
    <w:link w:val="936"/>
    <w:uiPriority w:val="99"/>
    <w:unhideWhenUsed/>
    <w:pPr>
      <w:pBdr/>
      <w:tabs>
        <w:tab w:val="center" w:leader="none" w:pos="4844"/>
        <w:tab w:val="right" w:leader="none" w:pos="9689"/>
      </w:tabs>
      <w:spacing w:after="0" w:line="240" w:lineRule="auto"/>
      <w:ind/>
    </w:pPr>
  </w:style>
  <w:style w:type="character" w:styleId="936">
    <w:name w:val="Header Char"/>
    <w:basedOn w:val="962"/>
    <w:link w:val="935"/>
    <w:uiPriority w:val="99"/>
    <w:pPr>
      <w:pBdr/>
      <w:spacing/>
      <w:ind/>
    </w:pPr>
  </w:style>
  <w:style w:type="paragraph" w:styleId="937">
    <w:name w:val="Footer"/>
    <w:basedOn w:val="959"/>
    <w:link w:val="938"/>
    <w:uiPriority w:val="99"/>
    <w:unhideWhenUsed/>
    <w:pPr>
      <w:pBdr/>
      <w:tabs>
        <w:tab w:val="center" w:leader="none" w:pos="4844"/>
        <w:tab w:val="right" w:leader="none" w:pos="9689"/>
      </w:tabs>
      <w:spacing w:after="0" w:line="240" w:lineRule="auto"/>
      <w:ind/>
    </w:pPr>
  </w:style>
  <w:style w:type="character" w:styleId="938">
    <w:name w:val="Footer Char"/>
    <w:basedOn w:val="962"/>
    <w:link w:val="937"/>
    <w:uiPriority w:val="99"/>
    <w:pPr>
      <w:pBdr/>
      <w:spacing/>
      <w:ind/>
    </w:pPr>
  </w:style>
  <w:style w:type="paragraph" w:styleId="939">
    <w:name w:val="footnote text"/>
    <w:basedOn w:val="959"/>
    <w:link w:val="940"/>
    <w:uiPriority w:val="99"/>
    <w:semiHidden/>
    <w:unhideWhenUsed/>
    <w:pPr>
      <w:pBdr/>
      <w:spacing w:after="0" w:line="240" w:lineRule="auto"/>
      <w:ind/>
    </w:pPr>
    <w:rPr>
      <w:sz w:val="20"/>
      <w:szCs w:val="20"/>
    </w:rPr>
  </w:style>
  <w:style w:type="character" w:styleId="940">
    <w:name w:val="Footnote Text Char"/>
    <w:basedOn w:val="962"/>
    <w:link w:val="939"/>
    <w:uiPriority w:val="99"/>
    <w:semiHidden/>
    <w:pPr>
      <w:pBdr/>
      <w:spacing/>
      <w:ind/>
    </w:pPr>
    <w:rPr>
      <w:sz w:val="20"/>
      <w:szCs w:val="20"/>
    </w:rPr>
  </w:style>
  <w:style w:type="character" w:styleId="941">
    <w:name w:val="footnote reference"/>
    <w:basedOn w:val="962"/>
    <w:uiPriority w:val="99"/>
    <w:semiHidden/>
    <w:unhideWhenUsed/>
    <w:pPr>
      <w:pBdr/>
      <w:spacing/>
      <w:ind/>
    </w:pPr>
    <w:rPr>
      <w:vertAlign w:val="superscript"/>
    </w:rPr>
  </w:style>
  <w:style w:type="paragraph" w:styleId="942">
    <w:name w:val="endnote text"/>
    <w:basedOn w:val="959"/>
    <w:link w:val="943"/>
    <w:uiPriority w:val="99"/>
    <w:semiHidden/>
    <w:unhideWhenUsed/>
    <w:pPr>
      <w:pBdr/>
      <w:spacing w:after="0" w:line="240" w:lineRule="auto"/>
      <w:ind/>
    </w:pPr>
    <w:rPr>
      <w:sz w:val="20"/>
      <w:szCs w:val="20"/>
    </w:rPr>
  </w:style>
  <w:style w:type="character" w:styleId="943">
    <w:name w:val="Endnote Text Char"/>
    <w:basedOn w:val="962"/>
    <w:link w:val="942"/>
    <w:uiPriority w:val="99"/>
    <w:semiHidden/>
    <w:pPr>
      <w:pBdr/>
      <w:spacing/>
      <w:ind/>
    </w:pPr>
    <w:rPr>
      <w:sz w:val="20"/>
      <w:szCs w:val="20"/>
    </w:rPr>
  </w:style>
  <w:style w:type="character" w:styleId="944">
    <w:name w:val="endnote reference"/>
    <w:basedOn w:val="962"/>
    <w:uiPriority w:val="99"/>
    <w:semiHidden/>
    <w:unhideWhenUsed/>
    <w:pPr>
      <w:pBdr/>
      <w:spacing/>
      <w:ind/>
    </w:pPr>
    <w:rPr>
      <w:vertAlign w:val="superscript"/>
    </w:rPr>
  </w:style>
  <w:style w:type="character" w:styleId="945">
    <w:name w:val="Hyperlink"/>
    <w:basedOn w:val="962"/>
    <w:uiPriority w:val="99"/>
    <w:unhideWhenUsed/>
    <w:pPr>
      <w:pBdr/>
      <w:spacing/>
      <w:ind/>
    </w:pPr>
    <w:rPr>
      <w:color w:val="0563c1" w:themeColor="hyperlink"/>
      <w:u w:val="single"/>
    </w:rPr>
  </w:style>
  <w:style w:type="character" w:styleId="946">
    <w:name w:val="FollowedHyperlink"/>
    <w:basedOn w:val="962"/>
    <w:uiPriority w:val="99"/>
    <w:semiHidden/>
    <w:unhideWhenUsed/>
    <w:pPr>
      <w:pBdr/>
      <w:spacing/>
      <w:ind/>
    </w:pPr>
    <w:rPr>
      <w:color w:val="954f72" w:themeColor="followedHyperlink"/>
      <w:u w:val="single"/>
    </w:rPr>
  </w:style>
  <w:style w:type="paragraph" w:styleId="947">
    <w:name w:val="toc 1"/>
    <w:basedOn w:val="959"/>
    <w:next w:val="959"/>
    <w:uiPriority w:val="39"/>
    <w:unhideWhenUsed/>
    <w:pPr>
      <w:pBdr/>
      <w:spacing w:after="100"/>
      <w:ind/>
    </w:pPr>
  </w:style>
  <w:style w:type="paragraph" w:styleId="948">
    <w:name w:val="toc 2"/>
    <w:basedOn w:val="959"/>
    <w:next w:val="959"/>
    <w:uiPriority w:val="39"/>
    <w:unhideWhenUsed/>
    <w:pPr>
      <w:pBdr/>
      <w:spacing w:after="100"/>
      <w:ind w:left="220"/>
    </w:pPr>
  </w:style>
  <w:style w:type="paragraph" w:styleId="949">
    <w:name w:val="toc 3"/>
    <w:basedOn w:val="959"/>
    <w:next w:val="959"/>
    <w:uiPriority w:val="39"/>
    <w:unhideWhenUsed/>
    <w:pPr>
      <w:pBdr/>
      <w:spacing w:after="100"/>
      <w:ind w:left="440"/>
    </w:pPr>
  </w:style>
  <w:style w:type="paragraph" w:styleId="950">
    <w:name w:val="toc 4"/>
    <w:basedOn w:val="959"/>
    <w:next w:val="959"/>
    <w:uiPriority w:val="39"/>
    <w:unhideWhenUsed/>
    <w:pPr>
      <w:pBdr/>
      <w:spacing w:after="100"/>
      <w:ind w:left="660"/>
    </w:pPr>
  </w:style>
  <w:style w:type="paragraph" w:styleId="951">
    <w:name w:val="toc 5"/>
    <w:basedOn w:val="959"/>
    <w:next w:val="959"/>
    <w:uiPriority w:val="39"/>
    <w:unhideWhenUsed/>
    <w:pPr>
      <w:pBdr/>
      <w:spacing w:after="100"/>
      <w:ind w:left="880"/>
    </w:pPr>
  </w:style>
  <w:style w:type="paragraph" w:styleId="952">
    <w:name w:val="toc 6"/>
    <w:basedOn w:val="959"/>
    <w:next w:val="959"/>
    <w:uiPriority w:val="39"/>
    <w:unhideWhenUsed/>
    <w:pPr>
      <w:pBdr/>
      <w:spacing w:after="100"/>
      <w:ind w:left="1100"/>
    </w:pPr>
  </w:style>
  <w:style w:type="paragraph" w:styleId="953">
    <w:name w:val="toc 7"/>
    <w:basedOn w:val="959"/>
    <w:next w:val="959"/>
    <w:uiPriority w:val="39"/>
    <w:unhideWhenUsed/>
    <w:pPr>
      <w:pBdr/>
      <w:spacing w:after="100"/>
      <w:ind w:left="1320"/>
    </w:pPr>
  </w:style>
  <w:style w:type="paragraph" w:styleId="954">
    <w:name w:val="toc 8"/>
    <w:basedOn w:val="959"/>
    <w:next w:val="959"/>
    <w:uiPriority w:val="39"/>
    <w:unhideWhenUsed/>
    <w:pPr>
      <w:pBdr/>
      <w:spacing w:after="100"/>
      <w:ind w:left="1540"/>
    </w:pPr>
  </w:style>
  <w:style w:type="paragraph" w:styleId="955">
    <w:name w:val="toc 9"/>
    <w:basedOn w:val="959"/>
    <w:next w:val="959"/>
    <w:uiPriority w:val="39"/>
    <w:unhideWhenUsed/>
    <w:pPr>
      <w:pBdr/>
      <w:spacing w:after="100"/>
      <w:ind w:left="1760"/>
    </w:pPr>
  </w:style>
  <w:style w:type="character" w:styleId="956">
    <w:name w:val="Placeholder Text"/>
    <w:basedOn w:val="962"/>
    <w:uiPriority w:val="99"/>
    <w:semiHidden/>
    <w:pPr>
      <w:pBdr/>
      <w:spacing/>
      <w:ind/>
    </w:pPr>
    <w:rPr>
      <w:color w:val="666666"/>
    </w:rPr>
  </w:style>
  <w:style w:type="paragraph" w:styleId="957">
    <w:name w:val="TOC Heading"/>
    <w:uiPriority w:val="39"/>
    <w:unhideWhenUsed/>
    <w:pPr>
      <w:pBdr/>
      <w:spacing/>
      <w:ind/>
    </w:pPr>
  </w:style>
  <w:style w:type="paragraph" w:styleId="958">
    <w:name w:val="table of figures"/>
    <w:basedOn w:val="959"/>
    <w:next w:val="959"/>
    <w:uiPriority w:val="99"/>
    <w:unhideWhenUsed/>
    <w:pPr>
      <w:pBdr/>
      <w:spacing w:after="0" w:afterAutospacing="0"/>
      <w:ind/>
    </w:pPr>
  </w:style>
  <w:style w:type="paragraph" w:styleId="959" w:default="1">
    <w:name w:val="Normal"/>
    <w:qFormat/>
    <w:pPr>
      <w:widowControl w:val="false"/>
      <w:pBdr/>
      <w:spacing/>
      <w:ind/>
    </w:pPr>
    <w:rPr>
      <w:rFonts w:ascii="Arial" w:hAnsi="Arial" w:eastAsia="Lucida Sans Unicode" w:cs="Times New Roman"/>
      <w:sz w:val="24"/>
      <w:szCs w:val="24"/>
      <w:lang w:eastAsia="ar-SA"/>
    </w:rPr>
  </w:style>
  <w:style w:type="paragraph" w:styleId="960">
    <w:name w:val="Heading 3"/>
    <w:basedOn w:val="959"/>
    <w:next w:val="959"/>
    <w:link w:val="967"/>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61">
    <w:name w:val="Heading 4"/>
    <w:basedOn w:val="959"/>
    <w:next w:val="959"/>
    <w:link w:val="965"/>
    <w:semiHidden/>
    <w:unhideWhenUsed/>
    <w:qFormat/>
    <w:pPr>
      <w:keepNext w:val="true"/>
      <w:pBdr/>
      <w:tabs>
        <w:tab w:val="left" w:leader="none" w:pos="360"/>
      </w:tabs>
      <w:spacing w:after="60" w:before="240"/>
      <w:ind/>
      <w:outlineLvl w:val="3"/>
    </w:pPr>
    <w:rPr>
      <w:b/>
      <w:bCs/>
      <w:sz w:val="28"/>
      <w:szCs w:val="28"/>
    </w:rPr>
  </w:style>
  <w:style w:type="character" w:styleId="962" w:default="1">
    <w:name w:val="Default Paragraph Font"/>
    <w:uiPriority w:val="1"/>
    <w:semiHidden/>
    <w:unhideWhenUsed/>
    <w:pPr>
      <w:pBdr/>
      <w:spacing/>
      <w:ind/>
    </w:pPr>
  </w:style>
  <w:style w:type="table" w:styleId="96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4" w:default="1">
    <w:name w:val="No List"/>
    <w:uiPriority w:val="99"/>
    <w:semiHidden/>
    <w:unhideWhenUsed/>
    <w:pPr>
      <w:pBdr/>
      <w:spacing/>
      <w:ind/>
    </w:pPr>
  </w:style>
  <w:style w:type="character" w:styleId="965" w:customStyle="1">
    <w:name w:val="Заголовок 4 Знак"/>
    <w:basedOn w:val="962"/>
    <w:link w:val="961"/>
    <w:semiHidden/>
    <w:qFormat/>
    <w:pPr>
      <w:pBdr/>
      <w:spacing/>
      <w:ind/>
    </w:pPr>
    <w:rPr>
      <w:rFonts w:ascii="Arial" w:hAnsi="Arial" w:eastAsia="Lucida Sans Unicode" w:cs="Times New Roman"/>
      <w:b/>
      <w:bCs/>
      <w:sz w:val="28"/>
      <w:szCs w:val="28"/>
      <w:lang w:eastAsia="ar-SA"/>
    </w:rPr>
  </w:style>
  <w:style w:type="character" w:styleId="966" w:customStyle="1">
    <w:name w:val="Основной текст с отступом Знак"/>
    <w:basedOn w:val="962"/>
    <w:semiHidden/>
    <w:qFormat/>
    <w:pPr>
      <w:pBdr/>
      <w:spacing/>
      <w:ind/>
    </w:pPr>
    <w:rPr>
      <w:rFonts w:ascii="Arial" w:hAnsi="Arial" w:eastAsia="Lucida Sans Unicode" w:cs="Times New Roman"/>
      <w:sz w:val="24"/>
      <w:szCs w:val="24"/>
      <w:lang w:eastAsia="ar-SA"/>
    </w:rPr>
  </w:style>
  <w:style w:type="character" w:styleId="967" w:customStyle="1">
    <w:name w:val="Заголовок 3 Знак"/>
    <w:basedOn w:val="962"/>
    <w:link w:val="960"/>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68" w:customStyle="1">
    <w:name w:val="Интернет-ссылка"/>
    <w:basedOn w:val="962"/>
    <w:uiPriority w:val="99"/>
    <w:semiHidden/>
    <w:unhideWhenUsed/>
    <w:pPr>
      <w:pBdr/>
      <w:spacing/>
      <w:ind/>
    </w:pPr>
    <w:rPr>
      <w:color w:val="0000ff"/>
      <w:u w:val="single"/>
    </w:rPr>
  </w:style>
  <w:style w:type="character" w:styleId="969" w:customStyle="1">
    <w:name w:val="Основной шрифт абзаца2"/>
    <w:qFormat/>
    <w:pPr>
      <w:pBdr/>
      <w:spacing/>
      <w:ind/>
    </w:pPr>
  </w:style>
  <w:style w:type="character" w:styleId="970" w:customStyle="1">
    <w:name w:val="Основной шрифт абзаца1"/>
    <w:qFormat/>
    <w:pPr>
      <w:pBdr/>
      <w:spacing/>
      <w:ind/>
    </w:pPr>
  </w:style>
  <w:style w:type="paragraph" w:styleId="971">
    <w:name w:val="Title"/>
    <w:basedOn w:val="959"/>
    <w:next w:val="972"/>
    <w:qFormat/>
    <w:pPr>
      <w:keepNext w:val="true"/>
      <w:pBdr/>
      <w:spacing w:after="120" w:before="240"/>
      <w:ind/>
    </w:pPr>
    <w:rPr>
      <w:rFonts w:ascii="Liberation Sans" w:hAnsi="Liberation Sans" w:eastAsia="Microsoft YaHei" w:cs="Arial"/>
      <w:sz w:val="28"/>
      <w:szCs w:val="28"/>
    </w:rPr>
  </w:style>
  <w:style w:type="paragraph" w:styleId="972">
    <w:name w:val="Body Text"/>
    <w:basedOn w:val="959"/>
    <w:pPr>
      <w:pBdr/>
      <w:spacing w:after="140" w:line="276" w:lineRule="auto"/>
      <w:ind/>
    </w:pPr>
  </w:style>
  <w:style w:type="paragraph" w:styleId="973">
    <w:name w:val="List"/>
    <w:basedOn w:val="972"/>
    <w:pPr>
      <w:pBdr/>
      <w:spacing/>
      <w:ind/>
    </w:pPr>
    <w:rPr>
      <w:rFonts w:cs="Arial"/>
    </w:rPr>
  </w:style>
  <w:style w:type="paragraph" w:styleId="974">
    <w:name w:val="Caption"/>
    <w:basedOn w:val="959"/>
    <w:qFormat/>
    <w:pPr>
      <w:suppressLineNumbers w:val="true"/>
      <w:pBdr/>
      <w:spacing w:after="120" w:before="120"/>
      <w:ind/>
    </w:pPr>
    <w:rPr>
      <w:rFonts w:cs="Arial"/>
      <w:i/>
      <w:iCs/>
    </w:rPr>
  </w:style>
  <w:style w:type="paragraph" w:styleId="975">
    <w:name w:val="index heading"/>
    <w:basedOn w:val="959"/>
    <w:qFormat/>
    <w:pPr>
      <w:suppressLineNumbers w:val="true"/>
      <w:pBdr/>
      <w:spacing/>
      <w:ind/>
    </w:pPr>
    <w:rPr>
      <w:rFonts w:cs="Arial"/>
    </w:rPr>
  </w:style>
  <w:style w:type="paragraph" w:styleId="976">
    <w:name w:val="Normal (Web)"/>
    <w:basedOn w:val="959"/>
    <w:uiPriority w:val="99"/>
    <w:semiHidden/>
    <w:unhideWhenUsed/>
    <w:qFormat/>
    <w:pPr>
      <w:pBdr/>
      <w:spacing w:after="280" w:before="280"/>
      <w:ind/>
    </w:pPr>
  </w:style>
  <w:style w:type="paragraph" w:styleId="977">
    <w:name w:val="Body Text Indent"/>
    <w:basedOn w:val="959"/>
    <w:semiHidden/>
    <w:unhideWhenUsed/>
    <w:pPr>
      <w:pBdr/>
      <w:spacing w:after="120"/>
      <w:ind w:left="283"/>
    </w:pPr>
  </w:style>
  <w:style w:type="paragraph" w:styleId="978" w:customStyle="1">
    <w:name w:val="Текст в заданном формате"/>
    <w:basedOn w:val="959"/>
    <w:qFormat/>
    <w:pPr>
      <w:pBdr/>
      <w:spacing/>
      <w:ind/>
    </w:pPr>
    <w:rPr>
      <w:rFonts w:ascii="Courier New" w:hAnsi="Courier New" w:eastAsia="Courier New" w:cs="Courier New"/>
      <w:sz w:val="20"/>
      <w:szCs w:val="20"/>
    </w:rPr>
  </w:style>
  <w:style w:type="paragraph" w:styleId="979"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80">
    <w:name w:val="List Paragraph"/>
    <w:basedOn w:val="959"/>
    <w:uiPriority w:val="34"/>
    <w:qFormat/>
    <w:pPr>
      <w:pBdr/>
      <w:spacing/>
      <w:ind w:left="720"/>
      <w:contextualSpacing w:val="true"/>
    </w:pPr>
  </w:style>
  <w:style w:type="numbering" w:styleId="981" w:customStyle="1">
    <w:name w:val="Стиль2"/>
    <w:uiPriority w:val="99"/>
    <w:qFormat/>
    <w:pPr>
      <w:pBdr/>
      <w:spacing/>
      <w:ind/>
    </w:pPr>
  </w:style>
  <w:style w:type="table" w:styleId="982">
    <w:name w:val="Table Grid"/>
    <w:basedOn w:val="963"/>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3"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 w:type="paragraph" w:styleId="984" w:customStyle="1">
    <w:name w:val="Основной текст (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EDC4-62DE-44D7-AF91-BA20028D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33</cp:revision>
  <dcterms:created xsi:type="dcterms:W3CDTF">2020-10-14T06:14:00Z</dcterms:created>
  <dcterms:modified xsi:type="dcterms:W3CDTF">2026-01-21T06:21:27Z</dcterms:modified>
</cp:coreProperties>
</file>