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74"/>
        <w:pBdr/>
        <w:spacing/>
        <w:ind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Приложение №1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974"/>
        <w:pBdr/>
        <w:spacing/>
        <w:ind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к ГК №__________от ____________________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974"/>
        <w:pBdr/>
        <w:spacing/>
        <w:ind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74"/>
        <w:pBdr/>
        <w:spacing/>
        <w:ind/>
        <w:jc w:val="center"/>
        <w:rPr>
          <w:rFonts w:ascii="Times New Roman" w:hAnsi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Техническое задание 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pStyle w:val="979"/>
        <w:pBdr/>
        <w:spacing/>
        <w:ind/>
        <w:jc w:val="center"/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yellow"/>
        </w:rPr>
        <w:t xml:space="preserve">на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yellow"/>
        </w:rPr>
        <w:t xml:space="preserve"> п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yellow"/>
        </w:rPr>
        <w:t xml:space="preserve">ередачу неисключительного права на использование обновлений программного продукта «Конфигурация для учреждений ФСИН для 1С:Предприятие 8» (№ в реестре российского ПО: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yellow"/>
        </w:rPr>
        <w:t xml:space="preserve">5096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yellow"/>
        </w:rPr>
        <w:t xml:space="preserve">)</w:t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</w:r>
    </w:p>
    <w:p>
      <w:pPr>
        <w:pStyle w:val="974"/>
        <w:pBdr/>
        <w:spacing w:line="200" w:lineRule="atLeast"/>
        <w:ind w:right="74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974"/>
        <w:pBdr/>
        <w:spacing/>
        <w:ind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Bdr/>
        <w:spacing/>
        <w:ind/>
        <w:jc w:val="both"/>
        <w:rPr>
          <w:rFonts w:ascii="Times New Roman" w:hAnsi="Times New Roman" w:eastAsia="Courier New"/>
          <w:sz w:val="22"/>
          <w:szCs w:val="22"/>
        </w:rPr>
      </w:pPr>
      <w:r>
        <w:rPr>
          <w:rFonts w:ascii="Times New Roman" w:hAnsi="Times New Roman" w:eastAsia="Courier New"/>
          <w:sz w:val="22"/>
          <w:szCs w:val="22"/>
        </w:rPr>
      </w:r>
      <w:r>
        <w:rPr>
          <w:rFonts w:ascii="Times New Roman" w:hAnsi="Times New Roman" w:eastAsia="Courier New"/>
          <w:sz w:val="22"/>
          <w:szCs w:val="22"/>
        </w:rPr>
      </w:r>
      <w:r>
        <w:rPr>
          <w:rFonts w:ascii="Times New Roman" w:hAnsi="Times New Roman" w:eastAsia="Courier New"/>
          <w:sz w:val="22"/>
          <w:szCs w:val="22"/>
        </w:rPr>
      </w:r>
    </w:p>
    <w:p>
      <w:pPr>
        <w:pStyle w:val="976"/>
        <w:numPr>
          <w:ilvl w:val="0"/>
          <w:numId w:val="35"/>
        </w:numPr>
        <w:pBdr/>
        <w:spacing w:line="216" w:lineRule="auto"/>
        <w:ind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Качество и характеристика услуг: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75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yellow"/>
        </w:rPr>
        <w:t xml:space="preserve">  П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yellow"/>
        </w:rPr>
        <w:t xml:space="preserve">ередача неисключительного права на использование обновлений программного продукта «Конфигурация для учреждений ФСИН для 1С:Предприятие 8» (№ в реестре российского ПО: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yellow"/>
        </w:rPr>
        <w:t xml:space="preserve">5096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yellow"/>
        </w:rPr>
        <w:t xml:space="preserve">)</w:t>
      </w:r>
      <w:r>
        <w:rPr>
          <w:rFonts w:ascii="Times New Roman" w:hAnsi="Times New Roman"/>
          <w:sz w:val="22"/>
          <w:szCs w:val="22"/>
          <w:highlight w:val="yellow"/>
        </w:rPr>
        <w:t xml:space="preserve">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Bdr/>
        <w:spacing/>
        <w:ind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numPr>
          <w:ilvl w:val="0"/>
          <w:numId w:val="34"/>
        </w:numPr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возможность до 10 дополнительных разработок в год по запросам клиентов с условием, что данная разработка (новые участки учета, новые способы поиска и исправления ошибок, отчеты, в том числе внутриведомственные отчеты).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Bdr/>
        <w:spacing/>
        <w:ind w:left="4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При этом все запрашиваемые дополнительные разработки должны удовлетворять следующим условиям: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Bdr/>
        <w:spacing/>
        <w:ind w:left="4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-</w:t>
      </w:r>
      <w:r>
        <w:rPr>
          <w:rFonts w:ascii="Times New Roman" w:hAnsi="Times New Roman"/>
          <w:color w:val="000000"/>
          <w:sz w:val="22"/>
          <w:szCs w:val="22"/>
        </w:rPr>
        <w:t xml:space="preserve">соответствовать и\или не противоречить действующему законодательству;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Bdr/>
        <w:spacing/>
        <w:ind w:left="4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-учитывать текущие функциональные возможности к</w:t>
      </w:r>
      <w:r>
        <w:rPr>
          <w:rFonts w:ascii="Times New Roman" w:hAnsi="Times New Roman"/>
          <w:color w:val="000000"/>
          <w:sz w:val="22"/>
          <w:szCs w:val="22"/>
        </w:rPr>
        <w:t xml:space="preserve">онфигурации;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Bdr/>
        <w:spacing/>
        <w:ind w:left="4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-расширять текущие функциональные возможности конфигурации;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numPr>
          <w:ilvl w:val="0"/>
          <w:numId w:val="34"/>
        </w:numPr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усовершенствование программного продукта, позволяющее уменьшить ошибки и неточности, совершаемые пользователями программного продукта;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numPr>
          <w:ilvl w:val="0"/>
          <w:numId w:val="34"/>
        </w:numPr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усовершенствование программного продукта по резу</w:t>
      </w:r>
      <w:r>
        <w:rPr>
          <w:rFonts w:ascii="Times New Roman" w:hAnsi="Times New Roman"/>
          <w:sz w:val="22"/>
          <w:szCs w:val="22"/>
        </w:rPr>
        <w:t xml:space="preserve">льтатам работы системных аналитиков Исполнителя;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numPr>
          <w:ilvl w:val="0"/>
          <w:numId w:val="34"/>
        </w:numPr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усовершенствование программного продукта, позволяющее находить неточности и ошибки при ведении Заказчиком бухгалтерского, кадрового и иного учета, необходимого для осуществления верной финансово-хозяйственно</w:t>
      </w:r>
      <w:r>
        <w:rPr>
          <w:rFonts w:ascii="Times New Roman" w:hAnsi="Times New Roman"/>
          <w:sz w:val="22"/>
          <w:szCs w:val="22"/>
        </w:rPr>
        <w:t xml:space="preserve">й деятельности Заказчика в соответствии с действующим законодательством Российской Федерации;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numPr>
          <w:ilvl w:val="0"/>
          <w:numId w:val="34"/>
        </w:numPr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изменения программного продукта, его усовершенствование, направленное на соответствие бухгалтерского, кадрового и иного учета, выполняемого пользователем, действу</w:t>
      </w:r>
      <w:r>
        <w:rPr>
          <w:rFonts w:ascii="Times New Roman" w:hAnsi="Times New Roman"/>
          <w:sz w:val="22"/>
          <w:szCs w:val="22"/>
        </w:rPr>
        <w:t xml:space="preserve">ющему законодательству Российской Федерации;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numPr>
          <w:ilvl w:val="0"/>
          <w:numId w:val="34"/>
        </w:numPr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Style w:val="965"/>
          <w:rFonts w:ascii="Times New Roman" w:hAnsi="Times New Roman"/>
          <w:sz w:val="22"/>
          <w:szCs w:val="22"/>
        </w:rPr>
        <w:t xml:space="preserve">резервное копирование перед проведением любого обновления в </w:t>
      </w:r>
      <w:r>
        <w:rPr>
          <w:rFonts w:ascii="Times New Roman" w:hAnsi="Times New Roman"/>
          <w:sz w:val="22"/>
          <w:szCs w:val="22"/>
        </w:rPr>
        <w:t xml:space="preserve">согласованное с технической службой Заказчика место хранения временной информации, которое при необходимости обеспечит полное восстановление всей инфор</w:t>
      </w:r>
      <w:r>
        <w:rPr>
          <w:rFonts w:ascii="Times New Roman" w:hAnsi="Times New Roman"/>
          <w:sz w:val="22"/>
          <w:szCs w:val="22"/>
        </w:rPr>
        <w:t xml:space="preserve">мации</w:t>
      </w:r>
      <w:r>
        <w:rPr>
          <w:rStyle w:val="965"/>
          <w:rFonts w:ascii="Times New Roman" w:hAnsi="Times New Roman"/>
          <w:sz w:val="22"/>
          <w:szCs w:val="22"/>
        </w:rPr>
        <w:t xml:space="preserve">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numPr>
          <w:ilvl w:val="0"/>
          <w:numId w:val="34"/>
        </w:numPr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Style w:val="965"/>
          <w:rFonts w:ascii="Times New Roman" w:hAnsi="Times New Roman"/>
          <w:sz w:val="22"/>
          <w:szCs w:val="22"/>
        </w:rPr>
        <w:t xml:space="preserve">восстановление информации из резервных копий информационных баз;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numPr>
          <w:ilvl w:val="0"/>
          <w:numId w:val="34"/>
        </w:numPr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обновление форм утвержденной отчетности по мере их выхода;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numPr>
          <w:ilvl w:val="0"/>
          <w:numId w:val="34"/>
        </w:numPr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обновление по мере выхода релизов типовых конфигураций сопровождаемого программного продукта </w:t>
      </w:r>
      <w:r>
        <w:rPr>
          <w:rFonts w:ascii="Times New Roman" w:hAnsi="Times New Roman"/>
          <w:sz w:val="22"/>
          <w:szCs w:val="22"/>
          <w:u w:val="single"/>
        </w:rPr>
        <w:t xml:space="preserve">ежемесячно, не позднее 28 числа каждого месяца;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numPr>
          <w:ilvl w:val="0"/>
          <w:numId w:val="34"/>
        </w:numPr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Style w:val="965"/>
          <w:rFonts w:ascii="Times New Roman" w:hAnsi="Times New Roman"/>
          <w:sz w:val="22"/>
          <w:szCs w:val="22"/>
        </w:rPr>
        <w:t xml:space="preserve">тестирование программного продукта после обновления на предмет нормальной работы, включая наработанный функционал;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numPr>
          <w:ilvl w:val="0"/>
          <w:numId w:val="34"/>
        </w:numPr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Style w:val="966"/>
          <w:rFonts w:ascii="Times New Roman" w:hAnsi="Times New Roman"/>
          <w:sz w:val="22"/>
          <w:szCs w:val="22"/>
        </w:rPr>
        <w:t xml:space="preserve">все доработки, установленные в программный продукт Заказчика, не должны быть изменены, потеряны.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numPr>
          <w:ilvl w:val="0"/>
          <w:numId w:val="34"/>
        </w:numPr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Style w:val="966"/>
          <w:rFonts w:ascii="Times New Roman" w:hAnsi="Times New Roman"/>
          <w:sz w:val="22"/>
          <w:szCs w:val="22"/>
        </w:rPr>
        <w:t xml:space="preserve">сохранение нетиповых функциональных возможностей при обновлении программного продукта.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numPr>
          <w:ilvl w:val="0"/>
          <w:numId w:val="34"/>
        </w:numPr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Style w:val="965"/>
          <w:rFonts w:ascii="Times New Roman" w:hAnsi="Times New Roman"/>
          <w:sz w:val="22"/>
          <w:szCs w:val="22"/>
        </w:rPr>
        <w:t xml:space="preserve">обеспечение нормальной работы программного продукта, в том числе после о</w:t>
      </w:r>
      <w:r>
        <w:rPr>
          <w:rStyle w:val="965"/>
          <w:rFonts w:ascii="Times New Roman" w:hAnsi="Times New Roman"/>
          <w:sz w:val="22"/>
          <w:szCs w:val="22"/>
        </w:rPr>
        <w:t xml:space="preserve">бновления и доработки;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numPr>
          <w:ilvl w:val="0"/>
          <w:numId w:val="34"/>
        </w:numPr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Style w:val="965"/>
          <w:rFonts w:ascii="Times New Roman" w:hAnsi="Times New Roman"/>
          <w:sz w:val="22"/>
          <w:szCs w:val="22"/>
        </w:rPr>
        <w:t xml:space="preserve">разграничение прав доступа пользователей программного продукта к хранимым в них данным и функционалу программного продукта;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numPr>
          <w:ilvl w:val="0"/>
          <w:numId w:val="34"/>
        </w:numPr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повторная установка, настройка программного продукта в случае переустановки операционной системы, замены комп</w:t>
      </w:r>
      <w:r>
        <w:rPr>
          <w:rFonts w:ascii="Times New Roman" w:hAnsi="Times New Roman"/>
          <w:sz w:val="22"/>
          <w:szCs w:val="22"/>
        </w:rPr>
        <w:t xml:space="preserve">ьютера Заказчика;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numPr>
          <w:ilvl w:val="0"/>
          <w:numId w:val="34"/>
        </w:numPr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техническая консультация </w:t>
      </w:r>
      <w:r>
        <w:rPr>
          <w:rFonts w:ascii="Times New Roman" w:hAnsi="Times New Roman"/>
          <w:sz w:val="22"/>
          <w:szCs w:val="22"/>
          <w:lang w:val="en-US"/>
        </w:rPr>
        <w:t xml:space="preserve">IT</w:t>
      </w:r>
      <w:r>
        <w:rPr>
          <w:rFonts w:ascii="Times New Roman" w:hAnsi="Times New Roman"/>
          <w:sz w:val="22"/>
          <w:szCs w:val="22"/>
        </w:rPr>
        <w:t xml:space="preserve">-специалистов Заказчика по настройке и поддержанию работы программного продукта;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numPr>
          <w:ilvl w:val="0"/>
          <w:numId w:val="34"/>
        </w:numPr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="Calibri"/>
          <w:color w:val="0d0d0d"/>
          <w:sz w:val="22"/>
          <w:szCs w:val="22"/>
        </w:rPr>
        <w:t xml:space="preserve">подписка на Информационно-Технологическое Сопровождение (1С: КП ГУ ПРОФ) на 12 месяцев;</w:t>
      </w:r>
      <w:bookmarkStart w:id="0" w:name="_GoBack"/>
      <w:r>
        <w:rPr>
          <w:sz w:val="22"/>
          <w:szCs w:val="22"/>
        </w:rPr>
      </w:r>
      <w:bookmarkEnd w:id="0"/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yellow"/>
        </w:rPr>
        <w:t xml:space="preserve">  П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yellow"/>
        </w:rPr>
        <w:t xml:space="preserve">ередача неисключительного права на использование обновлений программного продукта «Конфигурация для учреждений ФСИН для 1С:Предприятие 8» (№ в реестре российского ПО: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yellow"/>
        </w:rPr>
        <w:t xml:space="preserve">5096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yellow"/>
        </w:rPr>
        <w:t xml:space="preserve">)</w:t>
      </w:r>
      <w:r>
        <w:rPr>
          <w:rFonts w:ascii="Times New Roman" w:hAnsi="Times New Roman"/>
          <w:sz w:val="22"/>
          <w:szCs w:val="22"/>
        </w:rPr>
        <w:t xml:space="preserve"> должныа проводиться по следующим участкам, входящих </w:t>
      </w:r>
      <w:r>
        <w:rPr>
          <w:rFonts w:ascii="Times New Roman" w:hAnsi="Times New Roman"/>
          <w:sz w:val="22"/>
          <w:szCs w:val="22"/>
        </w:rPr>
        <w:t xml:space="preserve">в состав программного </w:t>
      </w:r>
      <w:r>
        <w:rPr>
          <w:rFonts w:ascii="Times New Roman" w:hAnsi="Times New Roman"/>
          <w:sz w:val="22"/>
          <w:szCs w:val="22"/>
        </w:rPr>
        <w:t xml:space="preserve">продукта, ранее установленного на компьютере Заказчика: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tbl>
      <w:tblPr>
        <w:tblW w:w="9345" w:type="dxa"/>
        <w:tblBorders/>
        <w:tblLayout w:type="fixed"/>
        <w:tblLook w:val="04A0" w:firstRow="1" w:lastRow="0" w:firstColumn="1" w:lastColumn="0" w:noHBand="0" w:noVBand="1"/>
        <w:tblStyle w:val="978"/>
      </w:tblPr>
      <w:tblGrid>
        <w:gridCol w:w="561"/>
        <w:gridCol w:w="2410"/>
        <w:gridCol w:w="6374"/>
      </w:tblGrid>
      <w:tr>
        <w:trPr/>
        <w:tc>
          <w:tcPr>
            <w:shd w:val="clear" w:color="auto" w:fill="f2f2f2" w:themeFill="background1" w:themeFillShade="F2"/>
            <w:tcBorders/>
            <w:tcW w:w="56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№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shd w:val="clear" w:color="auto" w:fill="f2f2f2" w:themeFill="background1" w:themeFillShade="F2"/>
            <w:tcBorders/>
            <w:tcW w:w="241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Участок бухгалтерского учета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shd w:val="clear" w:color="auto" w:fill="f2f2f2" w:themeFill="background1" w:themeFillShade="F2"/>
            <w:tcBorders/>
            <w:tcW w:w="637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Описание автоматизированных функций участка</w:t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Учет лиц, отбывающих наказание в ИУ (осужденных) и содержащихся в СИЗО (в том числе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количественный) и их личных денег.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637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В его состав должны входить: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Style w:val="976"/>
              <w:numPr>
                <w:ilvl w:val="0"/>
                <w:numId w:val="1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о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  <w:t xml:space="preserve">перации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регистрации поступления, перемещения и выбытия осужденных (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  <w:t xml:space="preserve">операции должны оформляться документами, которые имеют печатные формы «Попутных ведомостей», «Финансовых справок», и при 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  <w:t xml:space="preserve">проведении документов должны формироваться соответствующие проводки по бухгалтерскому учету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),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операции регистрации исполнительных листов, их погашения и отзыва (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  <w:t xml:space="preserve">операции должны оформляться документами, которые имеют печатные формы «Бланков почтовых перевод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  <w:t xml:space="preserve">ов», «Реестр почтовых переводов», «Списки на выплаты через кассу, на перевод по почте и на перечисление в банк», и при проведении документов должны формироваться соответствующие проводки по бухгалтерскому учету),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  <w:t xml:space="preserve">операции по учету личных денег, а именно их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  <w:t xml:space="preserve"> поступление, удержания и ограничения лимитов расходования, которые можно оформить документами,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отчеты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по личным деньгам, исполнительным листам и численности осужденных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 (в том числе среднесписочной численности).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Style w:val="974"/>
              <w:pBdr/>
              <w:spacing/>
              <w:ind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Учет молодняка и животных на </w:t>
            </w:r>
            <w:r>
              <w:rPr>
                <w:rFonts w:ascii="Times New Roman" w:hAnsi="Times New Roman" w:eastAsia="Calibri" w:cs="Times New Roman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выращивании и откорме.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637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В его состав должны входить: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Style w:val="976"/>
              <w:numPr>
                <w:ilvl w:val="0"/>
                <w:numId w:val="2"/>
              </w:num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  <w:t xml:space="preserve">операции по учету молодняка и животных –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привес, приплод, забой, падеж, перевод животных в другую возрастную группу, перевод животных в или из основного стада, поступление излишков в результате инвентари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зации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  <w:t xml:space="preserve"> (операции должны оформляться документами, которые имеют печатные формы «СП-39», «СП-47», «СП-54», «Акт на выбраковку животных из основного стада» и при проведении документов должны формироваться соответствующие проводки по бухгалтерскому учету),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Style w:val="976"/>
              <w:numPr>
                <w:ilvl w:val="0"/>
                <w:numId w:val="2"/>
              </w:num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спра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вочник возрастных групп,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Style w:val="976"/>
              <w:numPr>
                <w:ilvl w:val="0"/>
                <w:numId w:val="2"/>
              </w:num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отчет по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форме СП-51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r>
          </w:p>
        </w:tc>
      </w:tr>
      <w:tr>
        <w:trPr/>
        <w:tc>
          <w:tcPr>
            <w:tcBorders/>
            <w:tcW w:w="5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Учет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давальческого сырья у переработчика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637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В его состав должны входить: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Style w:val="976"/>
              <w:numPr>
                <w:ilvl w:val="0"/>
                <w:numId w:val="3"/>
              </w:num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  <w:t xml:space="preserve">операции по учету давальческого сырья, а именно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по поступлению, возврату, внутреннему перемещению, отпуску сырья в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переработку и выдачи продукции заказчику (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  <w:t xml:space="preserve">операции должны оформляться документами, которые имеют печатные формы «Акт списания сырья», «Акт приема-передачи», «Акт об оказании услуг», «Акт выполненных работ», и при проведении документов должны формироваться 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  <w:t xml:space="preserve">соответствующие проводки по бухгалтерскому учету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  <w:t xml:space="preserve">,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Style w:val="976"/>
              <w:numPr>
                <w:ilvl w:val="0"/>
                <w:numId w:val="3"/>
              </w:num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отчеты «Отчет переработчика», «Сверка с поставщиком»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</w:r>
          </w:p>
        </w:tc>
      </w:tr>
      <w:tr>
        <w:trPr/>
        <w:tc>
          <w:tcPr>
            <w:tcBorders/>
            <w:tcW w:w="5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Учет ценностей осужденных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637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Calibri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Участок должен быть предназначен для автоматизированного оперативного и бухгалтерского учета </w:t>
            </w:r>
            <w:r>
              <w:rPr>
                <w:rFonts w:ascii="Times New Roman" w:hAnsi="Times New Roman" w:eastAsia="Calibri"/>
                <w:sz w:val="22"/>
                <w:szCs w:val="22"/>
              </w:rPr>
              <w:t xml:space="preserve">ценностей, которые поступают в учреждения на время заключения осужденного.</w:t>
            </w:r>
            <w:r>
              <w:rPr>
                <w:rFonts w:ascii="Times New Roman" w:hAnsi="Times New Roman" w:eastAsia="Calibri"/>
                <w:sz w:val="22"/>
                <w:szCs w:val="22"/>
              </w:rPr>
            </w:r>
            <w:r>
              <w:rPr>
                <w:rFonts w:ascii="Times New Roman" w:hAnsi="Times New Roman" w:eastAsia="Calibri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В его состав должны входить: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Style w:val="976"/>
              <w:numPr>
                <w:ilvl w:val="0"/>
                <w:numId w:val="4"/>
              </w:num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  <w:t xml:space="preserve">операции по учету ценностей осужденных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, а именно по оформле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нию поступления, переоценки, перемещения и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возврата ценностей осужденных, Отчет кассира по ценностям осужденных (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  <w:t xml:space="preserve">операции должны оформляться документами, которые имеют печатные формы «Акт приема ценностей», «Сопроводительная ведомость», «Опись вложения», и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  <w:t xml:space="preserve"> при проведении документов должны формироваться соответствующие проводки по бухгалтерскому учету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)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  <w:t xml:space="preserve">,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Style w:val="976"/>
              <w:numPr>
                <w:ilvl w:val="0"/>
                <w:numId w:val="4"/>
              </w:num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  <w:t xml:space="preserve">операции по учету ценностей осужденного в пакете, с возможностью поиска пакета по штрих коду и печатью «Этикетки для пакета ценностей с формированием штрих к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  <w:t xml:space="preserve">ода»,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Style w:val="976"/>
              <w:numPr>
                <w:ilvl w:val="0"/>
                <w:numId w:val="4"/>
              </w:num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отчеты «Книга учета ценностей осужденных», «Кассовая книга по учету ценностей осужденных», «</w:t>
            </w:r>
            <w:r>
              <w:rPr>
                <w:rFonts w:ascii="Times New Roman" w:hAnsi="Times New Roman" w:eastAsia="Calibri"/>
                <w:sz w:val="22"/>
                <w:szCs w:val="22"/>
              </w:rPr>
              <w:t xml:space="preserve">Журнал регистрации кассовых ордеров по ценностям осужденных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».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</w:r>
          </w:p>
        </w:tc>
      </w:tr>
      <w:tr>
        <w:trPr/>
        <w:tc>
          <w:tcPr>
            <w:tcBorders/>
            <w:tcW w:w="5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Учет расхода ГСМ и путевых листов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637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В его состав должны входить: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Style w:val="976"/>
              <w:numPr>
                <w:ilvl w:val="0"/>
                <w:numId w:val="5"/>
              </w:num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справочник, который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предназначен для отражения информации по автотранспорту, в том числе по типу автотранспортных средств (легковые, грузовые, мотолодки), по применяемому для данного автотранспорта типу и нормам расхода топлива, масла, видам коэффициентов расхода топлива, пок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азаний спидометра, пробегу автомобиля,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Style w:val="976"/>
              <w:numPr>
                <w:ilvl w:val="0"/>
                <w:numId w:val="5"/>
              </w:num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справочник, который предназначен для отражения мест отправления/назначения, в том числе расстояний между местом отправления и местом назначения, времени проезда, дорожного коэффициента,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Style w:val="976"/>
              <w:numPr>
                <w:ilvl w:val="0"/>
                <w:numId w:val="5"/>
              </w:num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документ, являющийся первичным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документом для учета пробега, маршрута автомобиля, расхода ГСМ, а также основанием для списания ГСМ. Документ должен формировать и отражать в учете проводки по списанию ГСМ, производить расчет расхода ГСМ на определенном маршруте по типам автотранспортных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средств с учетом различных коэффициентов расхода. Данный документ должен быть основанием для автоматического заполнения документа по покупке материальных запасов», а также должен иметь печатную форму «Путевой лист автотранспортного средства»,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Style w:val="976"/>
              <w:numPr>
                <w:ilvl w:val="0"/>
                <w:numId w:val="5"/>
              </w:numPr>
              <w:pBdr/>
              <w:spacing/>
              <w:ind/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отчет, которы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й предназначен для формирования печатной формы акта на списание горюче-смазочных материалов. Отчет должен отражать следующую информацию: тип автомобиля, вид ГСМ, пробег, остаток топлива на определенную дату, приход топлива, расход топлива по норме, фактиче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ский расход топлива, остаток топлива на определенное число, показания спидометра.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</w:r>
          </w:p>
        </w:tc>
      </w:tr>
      <w:tr>
        <w:trPr/>
        <w:tc>
          <w:tcPr>
            <w:tcBorders/>
            <w:tcW w:w="5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Учет вещевого обеспечения осужденных и сотрудников ФСИН.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637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В его состав должны входить: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Style w:val="976"/>
              <w:numPr>
                <w:ilvl w:val="0"/>
                <w:numId w:val="6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  <w:t xml:space="preserve">операции по учету вещевого обеспечения – установка норм, регистрация, 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  <w:t xml:space="preserve">получение у контрагента, выдача, приостановление и возобновление срока носки, возврат, внутреннее перемещение, списание (операции должны оформляться документами, которые имеют печатные формы «Раздаточная (сдаточная) ведомость», «Приложение к акту списания»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  <w:t xml:space="preserve">, «Акт об утилизации мягкого и хозяйственного инвентаря» и при проведении документов должны формироваться соответствующие проводки по бухгалтерскому учету).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6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справочники для ведения «Типов вещевого обеспечения» и «Норм вещевого обеспечения» с указанием разм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ера денежных компенсаций, способа учета на счетах бухгалтерского учета, порядка взаиморасчетов за выданное вещевое обеспечение и возможностью указания списка замен для отсутствующего в наличии типа вещевого обеспечения,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6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отчеты «Б/у вещевое обеспечение на с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кладе», «Вещевое обеспечение, выданное сотрудникам», «Расчеты с сотрудниками», «Арматурная карточка», «Карточка (книга) учета выдачи имущества в пользование», «Взаиморасчеты за вещевое обеспечение», «Лицевой счет по обеспечению предметами вещевого имуществ</w:t>
            </w: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 xml:space="preserve">а».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Учет питания осужденных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637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его состав должны входить: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7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операции по регистрации категорий довольствующихся и их количества по учреждению, перемещения и списания продуктов питания в соответствии с нормами в разрезе категорий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довольствующихся с возможность замены продуктов по коэффициентам (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  <w:t xml:space="preserve">операции должны оформляться документами, которые имеют печатные формы «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Меню-требование с возможностью вывода в разрезе приемов пищи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  <w:t xml:space="preserve">», «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Котловой ордер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  <w:t xml:space="preserve">», «Таблица замен продуктов питания» и пр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  <w:t xml:space="preserve">и проведении документов должны формироваться соответствующие проводки по бухгалтерскому учету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),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7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возможность составления раскладок вариантов меню как списку продуктов питания, так и по списку готовых блюд.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7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справочники «Приемы пищи», «Варианты меню», «Катего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рии довольствующихся» с указанием нормы потребления (как еженедельной, так и ежедневной).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7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отчеты «Отчет по замене продуктов», «Накопительная ведомость по приходу продуктов питания (ф. 0504037)», «Накопительная ведомость по расходу продуктов питания (ф.0504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038)», «Поступление продуктов питания по поставщикам», «Расход продуктов по категориям довольствующихся».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Учет комиссионных товаров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637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его состав должны входить: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8"/>
              </w:numPr>
              <w:pBdr/>
              <w:spacing/>
              <w:ind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  <w:t xml:space="preserve">операции по учету комиссионных товаров, а именно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поступление комиссионных товаров, внутреннее перемещение, возврат и реализация (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  <w:t xml:space="preserve">операции должны оформляться документами, которые имеют печатные формы «Акт об оказании услуг комитенту», «КОМИС-4» и при провед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  <w:t xml:space="preserve">ении документов должны формироваться соответствующие проводки по бухгалтерскому учету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  <w:t xml:space="preserve">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8"/>
              </w:numPr>
              <w:pBdr/>
              <w:spacing/>
              <w:ind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возможность на основании реализации комиссионных товаров формировать проводки как по списанию комиссионных товаров, так и по расчетам с комитентом.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8"/>
              </w:numPr>
              <w:pBdr/>
              <w:spacing/>
              <w:ind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возможность на основ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ании документов по учету комиссионных товаров формировать отчет комиссионера за определенный период, а также «Карточка учета товаров и расчетов по договору комиссии» по форме КОМИС-6.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Учет производственной деятельности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637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его состав должны входить: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9"/>
              </w:numPr>
              <w:pBdr/>
              <w:spacing/>
              <w:ind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по 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чету производства, а именно выпуск продукции, отнесение затрат на ее изготовление, учет услуг, закрытие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производственных счетов с корректировкой плановой стоимости продукции до фактической, чтобы эти операции можно было оформить документами, которые имеют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печатные формы, и при их проведении были сформированы соответствующие проводки.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9"/>
              </w:numPr>
              <w:pBdr/>
              <w:spacing/>
              <w:ind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автоматизированная цепочка производственных операций по учету готовых блюд, продукции и списания сырья на их изготовление,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9"/>
              </w:numPr>
              <w:pBdr/>
              <w:spacing/>
              <w:ind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возможность закрытия производственных счетов по конкр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етному источнику финансового обеспечения (далее - ИФО), по-пустому ИФО, по всем ИФО.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9"/>
              </w:numPr>
              <w:pBdr/>
              <w:spacing/>
              <w:ind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возможность одним документом списывать сырье на несколько видов продукции,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9"/>
              </w:numPr>
              <w:pBdr/>
              <w:spacing/>
              <w:ind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проведение реализации продукции по нескольким направлениям деятельности (аналитике счета доходов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) одним документом,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9"/>
              </w:numPr>
              <w:pBdr/>
              <w:spacing/>
              <w:ind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ведение калькуляции себестоимости реализованной продукции с возможность ввода начальных остатков для учета себестоимости реализованной продукции отдельным документом,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9"/>
              </w:numPr>
              <w:pBdr/>
              <w:spacing/>
              <w:ind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возможность распределения косвенных затрат на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незавершенное производство разными способами (пропорционально выпускам продукции и услугам, пропорционально затратам) и формирования Ведомости остатков незавершенного производства,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9"/>
              </w:numPr>
              <w:pBdr/>
              <w:spacing/>
              <w:ind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учет материалов в производстве (с возможностью ввода остатков материалов в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производстве отдельным документом и дальнейшим автоматическим заполнением данных при инвентаризация незавершенного производства).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Также в состав участка должны входить: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0"/>
              </w:numPr>
              <w:pBdr/>
              <w:spacing/>
              <w:ind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отчеты (по калькуляции произведенной и реализованной продукции),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0"/>
              </w:numPr>
              <w:pBdr/>
              <w:spacing/>
              <w:ind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документ «Калькуляция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блюд», формирующий печатную форму «Калькуляционная карточка» и документы списания и внутреннего перемещения материалов,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0"/>
              </w:numPr>
              <w:pBdr/>
              <w:spacing/>
              <w:ind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справочник «Технологических карт» (с указанием сборника рецептур, номера рецептуры и технологии приготовления) с возможность вывода печа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тной формы «Технологической карты».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Учетная политика учреждения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637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На основании настроек и данных, имеющихся в информационной базе программного продукта (а также путем ответов на дополнительные вопросы) должна иметься возможность формирования приказа об 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четной политике учреждения для дальнейшего вывода на печать и заверения ответственными лицами.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Инструменты контроля за соответствием кассовых и фактических расходов и отображением ошибок по бухгалтерскому учету в разрезе участков учета и пользователей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информационной базы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637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его состав должны входить: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4"/>
              </w:numPr>
              <w:pBdr/>
              <w:spacing/>
              <w:ind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ahoma"/>
                <w:sz w:val="22"/>
                <w:szCs w:val="22"/>
              </w:rPr>
              <w:t xml:space="preserve">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тчет по контролю соответствия кассовых и фактических расходов», предназначенный для проверки целевого использования средств в учреждениях ФСИН, выявления возможных ошибок в цепочке операций от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кассовых до фактических расходов, связанных с неверными проводками, пересортицей по КПС и КЭК. Отчет должен формироваться за определенный период по кодам финансового обеспечения, по организациям, по КПС, по КЭК, по источникам финансового обеспечения. Отчет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должен выводить данные по остаткам на начало периода, оборотам за период, на конец периода должен анализировать данные по кассовым расходам, фактическим расходам, выявлять суммы предполагаемой ошибки и причины отклонений, а также давать комментарии, за сч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ет чего возникли отклонения.  Каждая ячейка в данном отчете должна расшифровывать значение суммы;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4"/>
              </w:numPr>
              <w:pBdr/>
              <w:spacing/>
              <w:ind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отчет с выводом ошибок по бухгалтерскому учету в разрезе участков и исполнителей, предназначенный для выявления ошибок в разрезе ИФО учреждения, совершаемых п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ри ведении учета в учреждениях ФСИН, с указанием бухгалтера, совершившего ошибку, по: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1"/>
              </w:numPr>
              <w:pBdr/>
              <w:spacing/>
              <w:ind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неправильному использованию расходного и доходного КПС;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1"/>
              </w:numPr>
              <w:pBdr/>
              <w:spacing/>
              <w:ind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проводкам с использованием счета 106;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1"/>
              </w:numPr>
              <w:pBdr/>
              <w:spacing/>
              <w:ind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проводкам начисления по счетам 303, 304.02, 304.03, в которых неверно примен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яется КЭК по корсчету;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1"/>
              </w:numPr>
              <w:pBdr/>
              <w:spacing/>
              <w:ind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проводкам, в которых КПС и КЭК по счету 401.10 и 401.20, 17.1 неверные;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1"/>
              </w:numPr>
              <w:pBdr/>
              <w:spacing/>
              <w:ind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ОС отражаются ошибки, а именно: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5"/>
              <w:pBdr/>
              <w:spacing/>
              <w:ind w:left="14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а) по которым ведется учет не по одному КПС;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75"/>
              <w:pBdr/>
              <w:spacing/>
              <w:ind w:left="14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б) учета амортизации и балансовой стоимости в карточке ОС на счетах бухгалтерского у</w:t>
            </w:r>
            <w:r>
              <w:rPr>
                <w:sz w:val="22"/>
                <w:szCs w:val="22"/>
              </w:rPr>
              <w:t xml:space="preserve">чет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75"/>
              <w:pBdr/>
              <w:spacing/>
              <w:ind w:left="14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в) расчета начисленной амортизации.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75"/>
              <w:numPr>
                <w:ilvl w:val="0"/>
                <w:numId w:val="12"/>
              </w:numPr>
              <w:pBdr/>
              <w:spacing/>
              <w:ind w:hanging="357" w:left="113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операциям учета НДС;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75"/>
              <w:numPr>
                <w:ilvl w:val="0"/>
                <w:numId w:val="12"/>
              </w:numPr>
              <w:pBdr/>
              <w:spacing/>
              <w:ind w:hanging="357" w:left="113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операциям учета МЗ по фактической стоимости;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75"/>
              <w:numPr>
                <w:ilvl w:val="0"/>
                <w:numId w:val="12"/>
              </w:numPr>
              <w:pBdr/>
              <w:spacing/>
              <w:ind w:hanging="357" w:left="113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операциям, в которых отражается списание просроченной задолженности.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75"/>
              <w:pBdr/>
              <w:spacing/>
              <w:ind w:left="113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Отчет должен формироваться за необходимый период. Каждая строка в данном отчете д</w:t>
            </w:r>
            <w:r>
              <w:rPr>
                <w:sz w:val="22"/>
                <w:szCs w:val="22"/>
              </w:rPr>
              <w:t xml:space="preserve">олжна раскрываться на документ, где была допущена ошибка.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975"/>
              <w:numPr>
                <w:ilvl w:val="0"/>
                <w:numId w:val="13"/>
              </w:numPr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отчет «Анализ исполнения договоров с поставщиками», в котором д</w:t>
            </w:r>
            <w:r>
              <w:rPr>
                <w:sz w:val="22"/>
                <w:szCs w:val="22"/>
              </w:rPr>
              <w:t xml:space="preserve">анные выводятся в разрезе по контрагентам, договорам, КФО, КПС, КЭК. В этом отчете должна отражаться информация о принятых </w:t>
            </w:r>
            <w:r>
              <w:rPr>
                <w:sz w:val="22"/>
                <w:szCs w:val="22"/>
              </w:rPr>
              <w:t xml:space="preserve">бюджетных обязательствах, принятых денежных обязательствах, начальных и конечных остатках выданных авансов; должны видны быть полученные суммы, суммы, оплаченные поставщику, начальное и конечное сальдо расчетов.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Учет администрирования доходов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637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его сос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тав должны входить: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3"/>
              </w:numPr>
              <w:pBdr/>
              <w:spacing/>
              <w:ind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ahoma"/>
                <w:color w:val="000000"/>
                <w:sz w:val="22"/>
                <w:szCs w:val="22"/>
                <w:shd w:val="clear" w:color="auto" w:fill="ffffff"/>
              </w:rPr>
              <w:t xml:space="preserve">формат обмена с ОФК (УФК) АДБ для загрузки «Выписки из лицевого счета администратора доходов бюджета». В выписке из лицевого счета должны отражаться документы поступления денежных средств (документы кассовых поступлений), суммы поступле</w:t>
            </w:r>
            <w:r>
              <w:rPr>
                <w:rFonts w:ascii="Times New Roman" w:hAnsi="Times New Roman" w:eastAsia="Tahoma"/>
                <w:color w:val="000000"/>
                <w:sz w:val="22"/>
                <w:szCs w:val="22"/>
                <w:shd w:val="clear" w:color="auto" w:fill="ffffff"/>
              </w:rPr>
              <w:t xml:space="preserve">ний, возвратов и зачетов, неисполненные операции, служебные отметки. При проведении документа кассового поступления должны формироваться проводки в дебет выбранного счета и кредит 205,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3"/>
              </w:numPr>
              <w:pBdr/>
              <w:spacing/>
              <w:ind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ahoma"/>
                <w:color w:val="000000"/>
                <w:sz w:val="22"/>
                <w:szCs w:val="22"/>
                <w:shd w:val="clear" w:color="auto" w:fill="ffffff"/>
              </w:rPr>
              <w:t xml:space="preserve">загрузка начисленных платежей должна осуществляться специальной обработ</w:t>
            </w:r>
            <w:r>
              <w:rPr>
                <w:rFonts w:ascii="Times New Roman" w:hAnsi="Times New Roman" w:eastAsia="Tahoma"/>
                <w:color w:val="000000"/>
                <w:sz w:val="22"/>
                <w:szCs w:val="22"/>
                <w:shd w:val="clear" w:color="auto" w:fill="ffffff"/>
              </w:rPr>
              <w:t xml:space="preserve">кой в документ реализация услуг. Для этого в документе должен быть добавлен вид операции «Начисление АДБ» для формирования </w:t>
            </w:r>
            <w:r>
              <w:rPr>
                <w:rFonts w:ascii="Times New Roman" w:hAnsi="Times New Roman" w:eastAsia="Tahoma"/>
                <w:color w:val="000000"/>
                <w:sz w:val="22"/>
                <w:szCs w:val="22"/>
                <w:shd w:val="clear" w:color="auto" w:fill="ffffff"/>
              </w:rPr>
              <w:t xml:space="preserve">проводок в дебет счета 205,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3"/>
              </w:numPr>
              <w:pBdr/>
              <w:spacing/>
              <w:ind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ahoma"/>
                <w:color w:val="000000"/>
                <w:sz w:val="22"/>
                <w:szCs w:val="22"/>
                <w:shd w:val="clear" w:color="auto" w:fill="ffffff"/>
              </w:rPr>
              <w:t xml:space="preserve">расширенная загрузка документов из органа Федерального казначейства, а именно – информация о плательщиках</w:t>
            </w:r>
            <w:r>
              <w:rPr>
                <w:rFonts w:ascii="Times New Roman" w:hAnsi="Times New Roman" w:eastAsia="Tahoma"/>
                <w:color w:val="000000"/>
                <w:sz w:val="22"/>
                <w:szCs w:val="22"/>
                <w:shd w:val="clear" w:color="auto" w:fill="ffffff"/>
              </w:rPr>
              <w:t xml:space="preserve">, ОКАТО платежа,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3"/>
              </w:numPr>
              <w:pBdr/>
              <w:spacing/>
              <w:ind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ahoma"/>
                <w:color w:val="000000"/>
                <w:sz w:val="22"/>
                <w:szCs w:val="22"/>
                <w:shd w:val="clear" w:color="auto" w:fill="ffffff"/>
              </w:rPr>
              <w:t xml:space="preserve">в документе «Извещение» должна быть добавлена операция «Передача АДБ» для использования в случае передачи платежей подведомственными учреждениям для автоматического заполнения документа «Извещение» по ОКАТМО подведомственного/иного учрежде</w:t>
            </w:r>
            <w:r>
              <w:rPr>
                <w:rFonts w:ascii="Times New Roman" w:hAnsi="Times New Roman" w:eastAsia="Tahoma"/>
                <w:color w:val="000000"/>
                <w:sz w:val="22"/>
                <w:szCs w:val="22"/>
                <w:shd w:val="clear" w:color="auto" w:fill="ffffff"/>
              </w:rPr>
              <w:t xml:space="preserve">ния (проводка Дт 205 Кт 304.04),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3"/>
              </w:numPr>
              <w:pBdr/>
              <w:spacing/>
              <w:ind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ahoma"/>
                <w:color w:val="000000"/>
                <w:sz w:val="22"/>
                <w:szCs w:val="22"/>
                <w:shd w:val="clear" w:color="auto" w:fill="ffffff"/>
              </w:rPr>
              <w:t xml:space="preserve">отчеты по сопоставлению начисленных сумм и сумм поступившей оплаты (по наименованию Контрагента).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Формирование бухгалтерской отчетности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6374" w:type="dxa"/>
            <w:textDirection w:val="lrTb"/>
            <w:noWrap w:val="false"/>
          </w:tcPr>
          <w:p>
            <w:pPr>
              <w:pStyle w:val="975"/>
              <w:pBdr/>
              <w:spacing/>
              <w:ind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программном продукте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Tahoma"/>
                <w:sz w:val="22"/>
                <w:szCs w:val="22"/>
              </w:rPr>
              <w:t xml:space="preserve">должен быть</w:t>
            </w:r>
            <w:r>
              <w:rPr>
                <w:sz w:val="22"/>
                <w:szCs w:val="22"/>
              </w:rPr>
              <w:t xml:space="preserve"> реализован «Помощник формирования бухгалтерской отчетности», который должен быть предназначен для автоматического заполнения регламентированной бухгалтерской отчетности.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Bdr/>
              <w:tabs>
                <w:tab w:val="left" w:leader="none" w:pos="690"/>
              </w:tabs>
              <w:spacing/>
              <w:ind w:hanging="255"/>
              <w:jc w:val="both"/>
              <w:rPr>
                <w:rFonts w:ascii="Times New Roman" w:hAnsi="Times New Roman" w:eastAsia="Tahom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ahoma"/>
                <w:color w:val="000000"/>
                <w:sz w:val="22"/>
                <w:szCs w:val="22"/>
                <w:shd w:val="clear" w:color="auto" w:fill="ffffff"/>
              </w:rPr>
              <w:tab/>
              <w:t xml:space="preserve">Благодаря помощнику (максимум за 5 шагов) должен выгружаться необходимый комплект го</w:t>
            </w:r>
            <w:r>
              <w:rPr>
                <w:rFonts w:ascii="Times New Roman" w:hAnsi="Times New Roman" w:eastAsia="Tahoma"/>
                <w:color w:val="000000"/>
                <w:sz w:val="22"/>
                <w:szCs w:val="22"/>
                <w:shd w:val="clear" w:color="auto" w:fill="ffffff"/>
              </w:rPr>
              <w:t xml:space="preserve">товых отчетов, а именно:</w:t>
            </w:r>
            <w:r>
              <w:rPr>
                <w:rFonts w:ascii="Times New Roman" w:hAnsi="Times New Roman" w:eastAsia="Tahoma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eastAsia="Tahoma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Style w:val="976"/>
              <w:numPr>
                <w:ilvl w:val="0"/>
                <w:numId w:val="15"/>
              </w:numPr>
              <w:pBdr/>
              <w:tabs>
                <w:tab w:val="left" w:leader="none" w:pos="690"/>
              </w:tabs>
              <w:spacing/>
              <w:ind w:hanging="357" w:left="714"/>
              <w:jc w:val="both"/>
              <w:rPr>
                <w:rFonts w:ascii="Times New Roman" w:hAnsi="Times New Roman" w:eastAsia="Tahom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выбор отчетов, которые входят в состав комплекта отчетности;</w:t>
            </w:r>
            <w:r>
              <w:rPr>
                <w:rFonts w:ascii="Times New Roman" w:hAnsi="Times New Roman" w:eastAsia="Tahoma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eastAsia="Tahoma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Style w:val="976"/>
              <w:numPr>
                <w:ilvl w:val="0"/>
                <w:numId w:val="15"/>
              </w:numPr>
              <w:pBdr/>
              <w:tabs>
                <w:tab w:val="left" w:leader="none" w:pos="690"/>
              </w:tabs>
              <w:spacing/>
              <w:ind w:hanging="357" w:left="714"/>
              <w:jc w:val="both"/>
              <w:rPr>
                <w:rFonts w:ascii="Times New Roman" w:hAnsi="Times New Roman" w:eastAsia="Tahom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проверка готовности данных в базе к формированию отчетов с выводом ошибок;</w:t>
            </w:r>
            <w:r>
              <w:rPr>
                <w:rFonts w:ascii="Times New Roman" w:hAnsi="Times New Roman" w:eastAsia="Tahoma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eastAsia="Tahoma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Style w:val="976"/>
              <w:numPr>
                <w:ilvl w:val="0"/>
                <w:numId w:val="15"/>
              </w:numPr>
              <w:pBdr/>
              <w:tabs>
                <w:tab w:val="left" w:leader="none" w:pos="690"/>
              </w:tabs>
              <w:spacing/>
              <w:ind w:hanging="357" w:left="714"/>
              <w:jc w:val="both"/>
              <w:rPr>
                <w:rFonts w:ascii="Times New Roman" w:hAnsi="Times New Roman" w:eastAsia="Tahom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формирование отчетов согласно заданному комплекту отчетности;</w:t>
            </w:r>
            <w:r>
              <w:rPr>
                <w:rFonts w:ascii="Times New Roman" w:hAnsi="Times New Roman" w:eastAsia="Tahoma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eastAsia="Tahoma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Style w:val="976"/>
              <w:numPr>
                <w:ilvl w:val="0"/>
                <w:numId w:val="15"/>
              </w:numPr>
              <w:pBdr/>
              <w:tabs>
                <w:tab w:val="left" w:leader="none" w:pos="690"/>
              </w:tabs>
              <w:spacing/>
              <w:ind w:hanging="357" w:left="714"/>
              <w:jc w:val="both"/>
              <w:rPr>
                <w:rFonts w:ascii="Times New Roman" w:hAnsi="Times New Roman" w:eastAsia="Tahom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проверка контрольных соотношений;</w:t>
            </w:r>
            <w:r>
              <w:rPr>
                <w:rFonts w:ascii="Times New Roman" w:hAnsi="Times New Roman" w:eastAsia="Tahoma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eastAsia="Tahoma"/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pStyle w:val="976"/>
              <w:numPr>
                <w:ilvl w:val="0"/>
                <w:numId w:val="15"/>
              </w:numPr>
              <w:pBdr/>
              <w:tabs>
                <w:tab w:val="left" w:leader="none" w:pos="690"/>
              </w:tabs>
              <w:spacing/>
              <w:ind w:hanging="357" w:left="714"/>
              <w:jc w:val="both"/>
              <w:rPr>
                <w:rFonts w:ascii="Times New Roman" w:hAnsi="Times New Roman" w:eastAsia="Tahom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печать и выгрузка отчетов.</w:t>
            </w:r>
            <w:r>
              <w:rPr>
                <w:rFonts w:ascii="Times New Roman" w:hAnsi="Times New Roman" w:eastAsia="Tahoma"/>
                <w:color w:val="000000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 w:eastAsia="Tahoma"/>
                <w:color w:val="000000"/>
                <w:sz w:val="22"/>
                <w:szCs w:val="22"/>
                <w:shd w:val="clear" w:color="auto" w:fill="ffffff"/>
              </w:rPr>
            </w:r>
          </w:p>
        </w:tc>
      </w:tr>
      <w:tr>
        <w:trPr/>
        <w:tc>
          <w:tcPr>
            <w:tcBorders/>
            <w:tcW w:w="5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Учет бланков строгой отчетности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637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его состав должны входить: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6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  <w:t xml:space="preserve">операции по учету бланков строгой отчетности, а именно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поступление, внутреннее перемещение, списание и инвентаризация (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  <w:t xml:space="preserve">операции должны оформляться 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shd w:val="clear" w:color="auto" w:fill="ffffff"/>
              </w:rPr>
              <w:t xml:space="preserve">документами, которые имеют печатные формы «Акт приема БСО», «Акт списания БСО» и при проведении документов должны формироваться соответствующие проводки по бухгалтерскому учету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6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ahoma"/>
                <w:sz w:val="22"/>
                <w:szCs w:val="22"/>
              </w:rPr>
              <w:t xml:space="preserve">возможность вести учет бланков строгой отчетности,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либо по условной оценке – 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дин бланк, один рубль, либо, в случаях установленной учреждением в рамках формирования учетной политики, по стоимости приобретения бланков.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Учет расчета и начисления заработной платы сотрудникам и осужденным, а также ведение кадрового учета и получения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 регламентированной отчетности в налоговые органы и Пенсионный фонд.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637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его состав должны входить возможности: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7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вести многофирменный учет: расчет и учет зарплаты сотрудников, работающих в нескольких учреждениях;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7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вести кадровый учет: оформление 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документов приема, перемещения и увольнения сотрудников в соответствии со штатным расписанием учреждения, составление графика отпусков, приказов о поощрении, взыскании;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7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вести кадровый учет государственных служащих по группам и категориям;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7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рассчитывать любо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й вид трудового стажа каждого сотрудника, в том числе стаж государственной (муниципальной) службы;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7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начислять государственным служащим оклад в соответствии с присвоенным классным чином, а также все необходимые ежемесячные и иные дополнительные выплаты;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7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расс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читывать зарплату с учетом новых систем оплаты 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труда работников федеральных бюджетных учреждений;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7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вести табель учета рабочего времени в часах и минутах, в табеле можно учитывать сверхурочное, вечернее, ночное время работы;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7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формировать все необходимые бюдже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тные формы документов (0504403, 0504401, 0504417, 0504425, 0504421);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7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рассчитывать и начислять зарплату по каждому сотруднику с учетом КБК, источников финансирования, статей затрат;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7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проводить расчет всех видов налогов, отчислений во внебюджетные фонды и сбо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ров, предусмотренных законодательством, как по каждому сотруднику, так и в целом по учреждению;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7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контролировать изменения начислений в предыдущих периодах, с возможностью автоматического перерасчета налогов;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7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производить перерасчет ранее 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сформированных документов - табеля, больничного, отпуска;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7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формировать различные виды выходных документов: расчетные листки, своды, ведомости, карточки, справки о доходах, налоговые карточки, отчеты в налоговые органы и в пенсионный фонд как в бумажном, так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и в электронном виде;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7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формировать проводки по бухгалтерскому учету на основании документов по расчету заработной платы, которые должны отражаться в 6 журнале, в главной книге и в балансе;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7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формировать денежный аттестат при увольнении сотрудников;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7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производи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ть выгрузку данных в ЕГИСЗ;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numPr>
                <w:ilvl w:val="0"/>
                <w:numId w:val="17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формировать своды, ведомости, карточки, справки, расчетные листки;</w:t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  <w:p>
            <w:pPr>
              <w:numPr>
                <w:ilvl w:val="0"/>
                <w:numId w:val="17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формировать справки о доходах физического лица по форме № 2-НДФЛ; 6-НДФЛ</w:t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  <w:p>
            <w:pPr>
              <w:numPr>
                <w:ilvl w:val="0"/>
                <w:numId w:val="17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получать отчеты о сведениях в Пенсионный фонд РФ по формам: АДВ-1,2,3, АДВ-6-2, СЗВ-6-1,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2, ДСВ-1,3);</w:t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  <w:p>
            <w:pPr>
              <w:numPr>
                <w:ilvl w:val="0"/>
                <w:numId w:val="17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формировать отчет-расчет по начисленным и уплаченным страховым взносам РСВ-1 ПФР;</w:t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  <w:p>
            <w:pPr>
              <w:numPr>
                <w:ilvl w:val="0"/>
                <w:numId w:val="17"/>
              </w:numPr>
              <w:pBdr/>
              <w:shd w:val="clear" w:color="auto" w:fill="ffffff"/>
              <w:spacing w:afterAutospacing="1"/>
              <w:ind/>
              <w:rPr>
                <w:rFonts w:ascii="Times New Roman" w:hAnsi="Times New Roman" w:eastAsia="Times New Roman"/>
                <w:color w:val="333333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выводить расчетную ведомость по средствам социального страхования РФ (4-ФСС).</w:t>
            </w:r>
            <w:r>
              <w:rPr>
                <w:rFonts w:ascii="Times New Roman" w:hAnsi="Times New Roman" w:eastAsia="Times New Roman"/>
                <w:color w:val="333333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color w:val="333333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Style w:val="956"/>
              <w:pBdr/>
              <w:shd w:val="clear" w:color="auto" w:fill="ffffff"/>
              <w:spacing w:before="0"/>
              <w:ind/>
              <w:outlineLvl w:val="2"/>
              <w:rPr>
                <w:rFonts w:ascii="Times New Roman" w:hAnsi="Times New Roman" w:eastAsia="Times New Roman" w:cs="Times New Roman"/>
                <w:color w:val="003399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Учет санкционирования расходов</w:t>
            </w:r>
            <w:r>
              <w:rPr>
                <w:rFonts w:ascii="Times New Roman" w:hAnsi="Times New Roman" w:eastAsia="Times New Roman" w:cs="Times New Roman"/>
                <w:color w:val="003399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3399"/>
                <w:sz w:val="22"/>
                <w:szCs w:val="22"/>
              </w:rPr>
            </w:r>
          </w:p>
        </w:tc>
        <w:tc>
          <w:tcPr>
            <w:tcBorders/>
            <w:tcW w:w="6374" w:type="dxa"/>
            <w:textDirection w:val="lrTb"/>
            <w:noWrap w:val="false"/>
          </w:tcPr>
          <w:p>
            <w:pPr>
              <w:pBdr/>
              <w:shd w:val="clear" w:color="auto" w:fill="ffffff"/>
              <w:spacing w:after="45" w:beforeAutospacing="1"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Автоматизация должна обеспечивать: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8"/>
              </w:numPr>
              <w:pBdr/>
              <w:shd w:val="clear" w:color="auto" w:fill="ffffff"/>
              <w:spacing w:after="45"/>
              <w:ind w:hanging="357" w:left="714"/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регистрацию и учет полученных лимитов бюджетных обязательств, ассигнований, предельных объемов финансирования, далее – бюджетных данных,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8"/>
              </w:numPr>
              <w:pBdr/>
              <w:shd w:val="clear" w:color="auto" w:fill="ffffff"/>
              <w:spacing w:after="45"/>
              <w:ind w:hanging="357" w:left="714"/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формирование Расходных расписаний ф. 0531722 (Приложение № 2 к Приказу Минфина РФ от 30.09.2008 № 104н) бюджетополучате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лем для представления в Федеральное казначейство,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8"/>
              </w:numPr>
              <w:pBdr/>
              <w:shd w:val="clear" w:color="auto" w:fill="ffffff"/>
              <w:spacing w:after="45"/>
              <w:ind w:hanging="357" w:left="714"/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отражение в учете сумм бюджетных данных, доведенных до распорядителя бюджетных средств (ГРБС), подлежащих дальнейшему распределению по подведомственным учреждениям,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8"/>
              </w:numPr>
              <w:pBdr/>
              <w:shd w:val="clear" w:color="auto" w:fill="ffffff"/>
              <w:spacing w:after="45"/>
              <w:ind w:hanging="357" w:left="714"/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формирование Расходных расписаний ф. 0531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722 для пе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редачи в органы казначейства и формирования бухгалтерских записей по распределению бюджетных данных подведомственным получателям бюджетных средств, в том числе себе как получателю,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8"/>
              </w:numPr>
              <w:pBdr/>
              <w:shd w:val="clear" w:color="auto" w:fill="ffffff"/>
              <w:spacing w:after="45"/>
              <w:ind w:hanging="357" w:left="714"/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регистрацию и учет сметных (плановых) назначений,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8"/>
              </w:numPr>
              <w:pBdr/>
              <w:shd w:val="clear" w:color="auto" w:fill="ffffff"/>
              <w:spacing w:after="45"/>
              <w:ind w:hanging="357" w:left="714"/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формирование от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чета "План финансово-хозяйственной деятельности" по форме, приведенной в Приложении к Порядку составления и утверждения плана финансово-хозяйственной деятельности государственных бюджетных учреждений, находящихся в ведении Министерства финансов Российской 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Федерации (утв. Приказом Минфина РФ от 30.08.2010 № 422),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8"/>
              </w:numPr>
              <w:pBdr/>
              <w:shd w:val="clear" w:color="auto" w:fill="ffffff"/>
              <w:spacing w:after="45"/>
              <w:ind w:hanging="357" w:left="714"/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формирование и экспорт Сведений об операциях с целевыми субсидиями, предоставленными государственному (муниципальному) учреждению (ф. 0501016) в соответствии с Требованиями к плану финансово-хозяйст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венной деятельности государственного (муниципального) учреждения, утвержденными Приказом Минфина России от 28.07.2010 № 81н,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8"/>
              </w:numPr>
              <w:pBdr/>
              <w:shd w:val="clear" w:color="auto" w:fill="ffffff"/>
              <w:spacing w:after="45"/>
              <w:ind w:hanging="357" w:left="714"/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Регистрацию и учет принятых обязательств, в том числе автоматический ввод денежных обязательств в соответствии с заданными настройк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ами автоматического ввода денежных обязательств из документов приобретения НФА и услуг,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8"/>
              </w:numPr>
              <w:pBdr/>
              <w:shd w:val="clear" w:color="auto" w:fill="ffffff"/>
              <w:spacing w:after="45"/>
              <w:ind w:hanging="357" w:left="714"/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Контроль принятия обязательств в пределах лимитов бюджетных обязательств, сметных (плановых) назначений, доведенных (утвержденных) по кодам классификации расходов соотв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етствующего бюджета (ведомственной классификации), и с учетом принятых и неисполненных обязательств,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8"/>
              </w:numPr>
              <w:pBdr/>
              <w:shd w:val="clear" w:color="auto" w:fill="ffffff"/>
              <w:spacing w:after="45"/>
              <w:ind w:hanging="357" w:left="714"/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контроль непревышения кассовых расходов над доведенными лимитами бюджетных обязательств (ассигнованиями) и при необходимости предельными объемами финансиро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вания расходов,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8"/>
              </w:numPr>
              <w:pBdr/>
              <w:shd w:val="clear" w:color="auto" w:fill="ffffff"/>
              <w:spacing w:after="45"/>
              <w:ind w:hanging="357" w:left="714"/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контроль непревышения кассовых выплат по источникам финансирования дефицита бюджета над доведенными бюджетными ассигнованиями,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8"/>
              </w:numPr>
              <w:pBdr/>
              <w:shd w:val="clear" w:color="auto" w:fill="ffffff"/>
              <w:spacing w:after="45"/>
              <w:ind w:hanging="357" w:left="714"/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контроль непревышения кассовых расходов над утвержденными сметными (плановыми) назначениями,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8"/>
              </w:numPr>
              <w:pBdr/>
              <w:shd w:val="clear" w:color="auto" w:fill="ffffff"/>
              <w:spacing w:after="45"/>
              <w:ind w:hanging="357" w:left="714"/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перенос показателей 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по соответствующим аналитическим счетам санкционирования расходов, сформированных в отчетном финансовом году за первый, второй годы, следующие за текущим (очередным) финансовым годом (далее – показатели по санкционированию) на аналитические счета санкциони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рования расходов бюджета следующего года.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17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Style w:val="956"/>
              <w:pBdr/>
              <w:shd w:val="clear" w:color="auto" w:fill="ffffff"/>
              <w:spacing w:before="0"/>
              <w:ind/>
              <w:outlineLvl w:val="2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Учет операций доведения бюджетных данных и кассового исполнения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/>
            <w:tcW w:w="6374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В программном продукте должны быть предусмотрены оформление, печать, выгрузка в электронном виде в актуальных форматах Федерального 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казначейства, следующих документов:</w:t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9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Заявка на кассовый расход (ф. 0531801);</w:t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9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Заявка на кассовый расход (сокращенная) (ф. 0531851);</w:t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9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Сводная заявка на кассовый расход (ф. 0531860);</w:t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9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Заявка на получение наличных денег (ф. 0531802);</w:t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9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Заявка на получение 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наличных (банковская карта) (ф. 0531844);</w:t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9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Заявка на возврат (ф. 0531803);</w:t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9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Запрос на аннулирование заявки (ф. 0531807);</w:t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9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Уведомление об уточнении вида и принадлежности платежа (ф. 0531809);</w:t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9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Платежное поручение (ф. 0401060);</w:t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9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Заявление на открытие лицевого сче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та (ф. 0510021);</w:t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9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Заявления на переоформление лицевого счета (ф. 0510025);</w:t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9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Заявления на закрытие лицевого счета (ф. 0510026);</w:t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19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Заявление на получение денежных чековых книжек (ф. 0531242) и др.</w:t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Должно быть предусмотрено проведение 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расчетно-платежных документов и формирование бухгалтерских записей, которые отражаются в Журнале операций с безналичными денежными средствами № 2 (ф. 0504071).</w:t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Также необходима загрузка в электронном виде в форматах Федерального казначейства, формирование 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и печать следующих документов:</w:t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20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Протокол органа казначейства (ф. 0531805);</w:t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20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Расходное расписание (ф. 0531722);</w:t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20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Запрос на выяснение принадлежности платежа (ф. 0531808);</w:t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20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Выписка из лицевого счета (различных видов). При загрузке Выписок формируются документы дл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я отражения кассового поступления, кассового выбытия и проводятся соответствующие расчетно-платежные документы для отражения кассовой выплаты. В документы, отражающие кассовые выплаты (поступления), загружаются данные документов-оснований отражения операци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й на л/с учреждения (платежные поручения и др. документы, сформированные органом ФК или плательщиком).</w:t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20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Отчет о состоянии лицевого счета (различных видов).</w:t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18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Style w:val="956"/>
              <w:pBdr/>
              <w:shd w:val="clear" w:color="auto" w:fill="ffffff"/>
              <w:spacing w:before="0"/>
              <w:ind/>
              <w:outlineLvl w:val="2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Учет наличных денежных средств и денежных документов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637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Требования к составу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автоматизированных функций участка: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21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приходные и расходные кассовые ордера (ф. № КО-1 и № КО-2), объявления на взнос наличными (ф. 0402001) оформляются по типовым унифицированным формам. Кассовые ордера можно оформлять как в рублях, так и в любой 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иностранной валюте. При проведении документов формируются бухгалтерские записи, которые отражаются в Журнале операций по счету "Касса" № 1 (ф. 0504071),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21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кассовые ордера также можно оформлять по денежным документам. При формировании кассовых ордеров по дене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жным документам на них делается надпечатка "Фондовый". Движения денежных документов регистрируются на счетах бухгалтерского учета,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21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ведение Журнала регистрации приходных и расходных ордеров" (ф. № КО-3) и Кассовой книги по форме № 0504514.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21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формирование касс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овой книги должно быть реализовано по наличным денежным средствам и денежным документам. При этом необходимо предусмотреть два способа ведения кассовой книги: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22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формирование единой кассовой книги (ф. 0504514) по наличным денежным средствам и денежным докумен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там с единой последовательной нумерацией обычных листов 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кассовой книги и листов с отметкой (штампом) "Фондовый";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22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формирование отдельной кассовой книги по форме 0504510 "Кассовая книга Фондовая" по операциям с денежными документами.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23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должны быть учтены особе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нности наличного обращения при расчетах через органы Федерального казначейства, в том числе особенности осуществления операций по обеспечению наличными деньгами получателей средств бюджетов, неучастников бюджетного процесса и уполномоченных подразделений с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 использованием карт,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23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предусмотрено оформление Заявления на получение денежных чековых книжек в органах Федерального казначейства (ф. 0531242), Заявки на получение наличных денежных средств, перечисляемых на карту (ф. 0531243) (Приложения № 2, 3 к Правилам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 обеспечения наличными денежными средствами организаций, лицевые счета которым открыты в территориальных органах Федерального казначейства, финансовых органах субъектов Российской Федерации (муниципальных образований), утвержденных Приказом Казначейства Ро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ссии от 30.06.2014 № 10н, и отражение на счетах учета операций при использовании счета № 40116 "Средства для выплаты наличных денег организациям",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23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предусмотрено получение информации по движению наличных денежных средств за любой период в разрезе учреждений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, источников и видов финансового обеспечения деятельности учреждения, классификационных признаков счетов, кодов экономической классификации,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23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предусмотрено формирование Инвентаризационных описей (сличительных ведомостей) ф. 0504086 и Акта инвентаризации нал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ичных денежных средств по форме № ИНВ-15 и документирование результатов инвентаризации наличных денежных средств и денежных документов. На основании документов, в которых зафиксировано расхождение фактических данных с учетными, можно ввести приходные докум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енты – для оприходования излишков и расходные документы – для регистрации недостач,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23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поддержка использования контрольно-кассовой техники при выполнении кассовых операций.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19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Style w:val="956"/>
              <w:pBdr/>
              <w:shd w:val="clear" w:color="auto" w:fill="ffffff"/>
              <w:spacing w:before="0"/>
              <w:ind/>
              <w:outlineLvl w:val="2"/>
              <w:rPr>
                <w:rFonts w:ascii="Times New Roman" w:hAnsi="Times New Roman" w:eastAsia="Times New Roman" w:cs="Times New Roman"/>
                <w:color w:val="003399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Учет нефинансовых активов</w:t>
            </w:r>
            <w:r>
              <w:rPr>
                <w:rFonts w:ascii="Times New Roman" w:hAnsi="Times New Roman" w:eastAsia="Times New Roman" w:cs="Times New Roman"/>
                <w:color w:val="003399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3399"/>
                <w:sz w:val="22"/>
                <w:szCs w:val="22"/>
              </w:rPr>
            </w:r>
          </w:p>
        </w:tc>
        <w:tc>
          <w:tcPr>
            <w:tcBorders/>
            <w:tcW w:w="637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его состав должны входить возможности: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24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учета 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нефинансовых активов по номенклатуре, инвентарным объектам, материально ответственным лицам и местам хранения,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24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предварительной калькуляции фактической стоимости на счете 010600000 "Вложения в нефинансовые активы", начисление амортизации в зависимости от ст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оимости основного средства, его назначения и срока использования,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24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группового учета инвентарных объектов с формированием инвентарных карточек группового учета основных средств (ф. 0504032), актов о приеме-передаче объектов нефинансовых активов (ф. 0504101),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списании 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объектов нефинансовых активов (кроме транспортных средств) (ф. 0504104).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24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хранение информации, необходимой для внесения сведений в реестр федерального имущества (постановление Правительства от 16.07.2007 № 447).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24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учета драгоценных металлов, входящи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х в состав основных средств, материалов, оборудования.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24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списания на расходы основные средства стоимостью до 3 000 руб. включительно (кроме основных средств, не списываемых при вводе в эксплуатацию, например, библиотечного фонда) или начислить 100 % амортиза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цию для основных средств стоимостью от 3 000 руб. до 40 000 руб. включительно.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24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по основным средствам и нематериальным активам стоимостью более 40 000 руб. ежемесячно начислять амортизацию, как в бухгалтерском, так и в налоговом учете с помощью регламентных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документов.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24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централизованное снабжение, внутриведомственное перемещение, получение от учредителя, изготовление собственными силами, реконструкция (модернизация), реализация излишних нефинансовых активов.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24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автоматизированного оформления возврата материалов 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поставщику и от покупателя, формирование Акт приемки материалов (материальных ценностей) по форме 0504220 для документального оформления претензий поставщикам в случае недостач нефинансовых активов при их приемке,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24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ведения списков постоянно действующих коми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ссий – по инвентаризации, по поступлению и выбытию НФА и т. п. – для отражения в актах на прием, передачу, списание НФА, в инвентаризационных описях и т.п.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24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оформления договоров об индивидуальной и бригадной материальной ответственности,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24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ввода на основании 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документов по поступлению НФА вводятся документы вида "Счет-фактура полученный" для регистрации счета-фактуры поставщика с целью формирования Книги покупок.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24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отражения движения нефинансовых активов в Журнале операций по выбытию и перемещению 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нефинансовых активов № 7 (ф. 0504071), Оборотной ведомости по нефинансовым активам (ф. 0504035), Карточках количественно-суммового учета материальных ценностей (0504041) и других регистрах учета.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24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формирования инвентаризационных описей (сличительных ведомос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тей) и регистрация результатов инвентаризации с помощью специализированных документов. Это позволяет хранить в программе всю информацию о проведенных инвентаризациях. На основании документов, в которых зафиксировано расхождение фактических данных с учетным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и, можно ввести приходные документы – для оприходования излишков и расходные документы – для регистрации недостач.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24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использовать терминалы сбора данных при проведении и оформлении результатов инвентаризации основных средств.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24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оформления операции по движению 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нефинансовых активов, учитываемых на забалансовых счетах. Оформляется поступление, внутреннее перемещение и списание таких объектов по унифицированным формам, проводится инвентаризация, формируются регистры учета.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Style w:val="956"/>
              <w:pBdr/>
              <w:shd w:val="clear" w:color="auto" w:fill="ffffff"/>
              <w:spacing w:before="0"/>
              <w:ind/>
              <w:outlineLvl w:val="2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Учет расчетов с поставщиками и подрядч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иками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/>
            <w:tcW w:w="637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В его состав должны входить: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  <w:p>
            <w:pPr>
              <w:pStyle w:val="97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учет расчетов с поставщиками и подрядчиками в разрезе договоров (оснований расчетов).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  <w:p>
            <w:pPr>
              <w:pStyle w:val="97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особенности учета расчетов с поставщиками и подрядчиками в зависимости от очередности расчетов – предварительная оплата или предварител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ьная поставка товаров, работ, услуг. Должен быть предусмотрен автоматический зачет авансов, регистрация счета-фактуры поставщика и ведение Книги покупок.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  <w:p>
            <w:pPr>
              <w:pStyle w:val="97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формирование журнала операций расчетов с поставщиками и подрядчиками № 4 (ф. 0504071) и другие отчеты.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Также необходимо формирование актов сверки расчетов с контрагентами и проведение инвентаризации расчетов.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  <w:p>
            <w:pPr>
              <w:pStyle w:val="976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возможность непосредственно из программы можно проверить ИНН и КПП контрагентов через веб-сервис ФНС, а также автоматически заполнить реквизиты контр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агентов по их ИНН.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</w:tc>
      </w:tr>
      <w:tr>
        <w:trPr/>
        <w:tc>
          <w:tcPr>
            <w:tcBorders/>
            <w:tcW w:w="5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21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Style w:val="956"/>
              <w:pBdr/>
              <w:shd w:val="clear" w:color="auto" w:fill="ffffff"/>
              <w:spacing w:before="0"/>
              <w:ind/>
              <w:outlineLvl w:val="2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Учет расчетов с подотчетными лицами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6374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В его состав должны входить: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  <w:p>
            <w:pPr>
              <w:pStyle w:val="976"/>
              <w:numPr>
                <w:ilvl w:val="0"/>
                <w:numId w:val="26"/>
              </w:numPr>
              <w:pBdr/>
              <w:shd w:val="clear" w:color="auto" w:fill="ffffff"/>
              <w:spacing/>
              <w:ind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аналитический учет расчетов с подотчетными лицами ведется по каждому подотчетному лицу в разрезе выданных им авансов и видов расчетов (расчеты по выданным 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денежным средствам, расчеты по полученным денежным документам). При этом один аванс, выданный подотчетному лицу, можно закрыть несколькими авансовыми отчетами,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  <w:p>
            <w:pPr>
              <w:pStyle w:val="976"/>
              <w:numPr>
                <w:ilvl w:val="0"/>
                <w:numId w:val="26"/>
              </w:numPr>
              <w:pBdr/>
              <w:shd w:val="clear" w:color="auto" w:fill="ffffff"/>
              <w:spacing/>
              <w:ind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расчеты с подотчетными лицами документируются с помощью соответствующих документов. Предусмотрен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о оформление заявления на выдачу подотчетной суммы, отражение в учете представленного в бухгалтерию авансового отчета, оформление Авансового отчета (ф. 0504505) на основании представленных оправдательных документов,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  <w:p>
            <w:pPr>
              <w:pStyle w:val="976"/>
              <w:numPr>
                <w:ilvl w:val="0"/>
                <w:numId w:val="26"/>
              </w:numPr>
              <w:pBdr/>
              <w:shd w:val="clear" w:color="auto" w:fill="ffffff"/>
              <w:spacing/>
              <w:ind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оформление данных инвентаризации расчето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в с подотчетными лицами, формирование Инвентаризационной описи расчетов с покупателями, поставщиками и прочими дебиторами, и кредиторами (ф. 0504089),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  <w:p>
            <w:pPr>
              <w:pStyle w:val="976"/>
              <w:numPr>
                <w:ilvl w:val="0"/>
                <w:numId w:val="26"/>
              </w:numPr>
              <w:pBdr/>
              <w:shd w:val="clear" w:color="auto" w:fill="ffffff"/>
              <w:spacing/>
              <w:ind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выписка доверенности на получение товарно-материальных ценностей по унифицированной форме № М-2,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  <w:p>
            <w:pPr>
              <w:pStyle w:val="976"/>
              <w:numPr>
                <w:ilvl w:val="0"/>
                <w:numId w:val="26"/>
              </w:numPr>
              <w:pBdr/>
              <w:shd w:val="clear" w:color="auto" w:fill="ffffff"/>
              <w:spacing/>
              <w:ind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Регистры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учета по расчетам с подотчетными лицами – Журнал операций расчетов с подотчетными лицами № 3 (ф. 0504071), Карточка учета средств и расчетов (ф. 0504051) и их формирование как выходных форм с помощью одноименных отчетов.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</w:tc>
      </w:tr>
      <w:tr>
        <w:trPr/>
        <w:tc>
          <w:tcPr>
            <w:tcBorders/>
            <w:tcW w:w="5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22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Style w:val="956"/>
              <w:pBdr/>
              <w:shd w:val="clear" w:color="auto" w:fill="ffffff"/>
              <w:spacing w:before="0"/>
              <w:ind/>
              <w:outlineLvl w:val="2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Учет расчетов с покупателями 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заказчиками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6374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В его состав должны входить: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27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операции начисления дебиторской задолженности по оказанным учреждением услугам по основной и предпринимательской деятельности, в том числе по предоставлению в аренду имущества, по расчетам с родите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лями за 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содержание детей в детском учреждении, по дополнительному образованию,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27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учет выполненных учреждением работ (НИР, ОКР). Работы могут быть многоэтапными. Предусмотрено оформление Актов сдачи-приемки работ, как по каждому этапу, так и по завершении работы в це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лом.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27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оформление счетов-фактур и автоматическое формирование Книги продаж согласно НК РФ и Правилам заполнения (ведения) документов, применяемых при расчетах по налогу на добавленную стоимость (утв. Постановлением Правительства РФ от 26.12.2011 № 1137),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27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выс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тавление счетов на оплату, автоматическое списание прямых и накладных затрат по услугам (работам) на текущий финансовый результат,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27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операции по зачету полученных авансов,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27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регистры учета по расчетам с дебиторами – Журнал операций расчетов с дебиторами по дох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одам № 5, Карточка учета средств и расчетов (ф. 0504051).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23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Style w:val="956"/>
              <w:pBdr/>
              <w:shd w:val="clear" w:color="auto" w:fill="ffffff"/>
              <w:spacing w:before="0"/>
              <w:ind/>
              <w:outlineLvl w:val="2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Учет НДС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Borders/>
            <w:tcW w:w="6374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В его состав должны входить возможности:</w:t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  <w:p>
            <w:pPr>
              <w:pStyle w:val="976"/>
              <w:numPr>
                <w:ilvl w:val="0"/>
                <w:numId w:val="28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учета НДС как налогоплательщика, так и налогового агента. Поддерживаться операции по ставке 0 %, учет НДС со строительно-монтажных работ, выполн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енных для собственного потребления хозяйственным способом, согласно НК РФ,</w:t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28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раздельного учета сумм НДС, предъявленных налогоплательщику по товарам (работам, услугам), в том числе основным средствам и нематериальным активам, имущественным правам, 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используемым для осуществления операций, не облагаемых налогом на добавленную стоимость согласно п. 4 ст. 170 гл. 21 НК РФ,</w:t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28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оформления счет-фактуры как на один документ поступления, так и на несколько документов поступления при многократных поставках от од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ного поставщика в течение дня, месяца,</w:t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28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автоматической регистрации счетов-фактур по полученным авансам за заданный период,</w:t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28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автоматического формирования Книги продаж, Книги покупок и Журнала учета полученных, выставленных счетов-фактур в соответствии с НК РФ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и Правилам заполнения (ведения) документов, применяемых при расчетах по налогу на добавленную стоимость (утв. Постановлением Правительства РФ от 26.12.2011 N 1137). Должно быть реализовано формирование дополнительных листов Книги покупок и Книги продаж, у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чтены особенности отражения корректировочных и исправительных счетов-фактур.</w:t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24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Style w:val="956"/>
              <w:pBdr/>
              <w:shd w:val="clear" w:color="auto" w:fill="ffffff"/>
              <w:spacing w:before="0"/>
              <w:ind/>
              <w:outlineLvl w:val="2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Налоговый учет налога на прибыль по приносящей доход деятельности в соответствии с гл. 25 НК РФ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6374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 xml:space="preserve">В его состав должны входить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29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соответствие счетов налогового учета счетам Едино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го плана счетов бухгалтерского учета. Это позволяет для ведения налогового учета доходов и расходов применять те же документы, что и для бухгалтерского учета,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29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ведение налогового учета параллельно с бухгалтерским. Хозяйственные операции по 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приносящей доход деятельности (КФО=2) должны отражаться одновременно и в бухгалтерском, и в налоговом учете,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29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отражение также внереализационных доходов и расходов,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29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регламентные операции налогового учета, такие как списание убытков прошлых лет, расчет 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базы по налогу на прибыль и суммы налога на прибыль, закрытие в конце года счетов налогового учета,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29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помощник "Ввод начальных данных налогового учета", для того, чтобы можно было: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30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установить дату начала ведения налогового учета в программе;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30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выполнить необхо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димые настройки налогового учета: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30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установить порядок распределения общепроизводственных и общехозяйственных затрат, порядок отнесения расходов в налоговом учете к прямым;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30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выполнить настройку раздельного учета доходов и расходов по операциям с различным пор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ядком налогообложения;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30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ввести входящие остатки на счета налогового учета.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31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автоматическое заполнение налоговой декларации по налогу на прибыль организаций по данным налогового учета. Возможность выгрузки подготовленной декларации для отправки по телекоммуни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кационным каналам связи или распечатать на машиночитаемом бланке.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6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25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Style w:val="956"/>
              <w:pBdr/>
              <w:shd w:val="clear" w:color="auto" w:fill="ffffff"/>
              <w:spacing w:before="0"/>
              <w:ind/>
              <w:outlineLvl w:val="2"/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Интеграция с ГИС ГМП и региональными системами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r>
          </w:p>
        </w:tc>
        <w:tc>
          <w:tcPr>
            <w:tcBorders/>
            <w:tcW w:w="6374" w:type="dxa"/>
            <w:textDirection w:val="lrTb"/>
            <w:noWrap w:val="false"/>
          </w:tcPr>
          <w:p>
            <w:p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В программе должно быть предусмотрено взаимодействие с государственной информационной системой о Государственных и 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муниципальных платежах (ГИС ГМП) и региональными системами согласно пункту 2.18 Порядка информационного взаимодействия Участников с оператором ГИС ГМП (приказ Казначейства России от 30.11.2012 № 19н), и пункту 2.26 Порядка № 19н.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</w:p>
          <w:p>
            <w:p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Взаимодействия с ГИС ГМП д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олжно предусматривать: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31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экспорт информации о начислениях за предоставляемые гос. услуги (как собственных, так и начислений подведомственных);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31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импорт информации о произведенном плательщиком платеже (как для себя, так и для подведомственных);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31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формирование зап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роса к системе на получение информации о платежах (как по начислениям, так и авансовых);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31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использование электронной подписи при обмене документами с ГИС ГМП;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31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квитирование распределенных платежей с начислением в ГИС ГМП по инициативе АН.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31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в части взаимодейств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ия с региональными системами: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32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экспорт каталога предоставляемых услуг;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32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экспорт информации о начислениях за предоставляемые гос. услуги;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32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импорт информации о произведенном плательщиком платежах (как по начислениям, так и авансовых);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32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использование 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электронной подписи (ЭП) при обмене документами с региональными системами;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</w:p>
          <w:p>
            <w:pPr>
              <w:pStyle w:val="976"/>
              <w:numPr>
                <w:ilvl w:val="0"/>
                <w:numId w:val="32"/>
              </w:numPr>
              <w:pBdr/>
              <w:shd w:val="clear" w:color="auto" w:fill="ffffff"/>
              <w:spacing/>
              <w:ind/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квитирование распределенных платежей с начислением в региональные системы по инициативе 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  <w:lang w:eastAsia="ru-RU"/>
              </w:rPr>
              <w:t xml:space="preserve">поставщика услуг.</w:t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r>
          </w:p>
        </w:tc>
      </w:tr>
    </w:tbl>
    <w:p>
      <w:pPr>
        <w:pBdr/>
        <w:spacing w:after="113"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76"/>
        <w:numPr>
          <w:ilvl w:val="0"/>
          <w:numId w:val="35"/>
        </w:numPr>
        <w:pBdr/>
        <w:spacing w:after="113"/>
        <w:ind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 w:eastAsia="Calibri"/>
          <w:b/>
          <w:bCs/>
          <w:color w:val="000000"/>
          <w:sz w:val="22"/>
          <w:szCs w:val="22"/>
        </w:rPr>
        <w:t xml:space="preserve">Требования к оказываемым услугам.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76"/>
        <w:pBdr/>
        <w:spacing w:after="113"/>
        <w:ind w:left="36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76"/>
        <w:pBdr/>
        <w:spacing w:after="113"/>
        <w:ind w:firstLine="207" w:left="360"/>
        <w:jc w:val="both"/>
        <w:rPr>
          <w:rFonts w:ascii="Times New Roman" w:hAnsi="Times New Roman" w:eastAsia="Calibri"/>
          <w:color w:val="000000"/>
          <w:sz w:val="22"/>
          <w:szCs w:val="22"/>
        </w:rPr>
      </w:pPr>
      <w:r>
        <w:rPr>
          <w:rFonts w:ascii="Times New Roman" w:hAnsi="Times New Roman" w:eastAsia="Calibri"/>
          <w:color w:val="000000"/>
          <w:sz w:val="22"/>
          <w:szCs w:val="22"/>
        </w:rPr>
        <w:t xml:space="preserve">В рамках исполнения условий </w:t>
      </w:r>
      <w:r>
        <w:rPr>
          <w:rFonts w:ascii="Times New Roman" w:hAnsi="Times New Roman" w:eastAsia="Calibri"/>
          <w:color w:val="000000"/>
          <w:sz w:val="22"/>
          <w:szCs w:val="22"/>
        </w:rPr>
        <w:t xml:space="preserve">настоящего технического задания Исполнитель обязуется выполнять следующие требования:</w:t>
      </w:r>
      <w:r>
        <w:rPr>
          <w:rFonts w:ascii="Times New Roman" w:hAnsi="Times New Roman" w:eastAsia="Calibri"/>
          <w:color w:val="000000"/>
          <w:sz w:val="22"/>
          <w:szCs w:val="22"/>
        </w:rPr>
      </w:r>
      <w:r>
        <w:rPr>
          <w:rFonts w:ascii="Times New Roman" w:hAnsi="Times New Roman" w:eastAsia="Calibri"/>
          <w:color w:val="000000"/>
          <w:sz w:val="22"/>
          <w:szCs w:val="22"/>
        </w:rPr>
      </w:r>
    </w:p>
    <w:p>
      <w:pPr>
        <w:pStyle w:val="976"/>
        <w:numPr>
          <w:ilvl w:val="1"/>
          <w:numId w:val="35"/>
        </w:numPr>
        <w:pBdr/>
        <w:spacing w:after="113"/>
        <w:ind/>
        <w:jc w:val="both"/>
        <w:rPr>
          <w:rFonts w:ascii="Times New Roman" w:hAnsi="Times New Roman" w:eastAsia="Calibri"/>
          <w:color w:val="000000"/>
          <w:sz w:val="22"/>
          <w:szCs w:val="22"/>
        </w:rPr>
      </w:pPr>
      <w:r>
        <w:rPr>
          <w:rFonts w:ascii="Times New Roman" w:hAnsi="Times New Roman" w:eastAsia="Calibri"/>
          <w:color w:val="000000"/>
          <w:sz w:val="22"/>
          <w:szCs w:val="22"/>
        </w:rPr>
        <w:t xml:space="preserve">В числе специалистов исполнителя, силами которых будет осуществляться информационно-консультационное обслуживание должны быть специалисты следующего уровня:</w:t>
      </w:r>
      <w:r>
        <w:rPr>
          <w:rFonts w:ascii="Times New Roman" w:hAnsi="Times New Roman" w:eastAsia="Calibri"/>
          <w:color w:val="000000"/>
          <w:sz w:val="22"/>
          <w:szCs w:val="22"/>
        </w:rPr>
      </w:r>
      <w:r>
        <w:rPr>
          <w:rFonts w:ascii="Times New Roman" w:hAnsi="Times New Roman" w:eastAsia="Calibri"/>
          <w:color w:val="000000"/>
          <w:sz w:val="22"/>
          <w:szCs w:val="22"/>
        </w:rPr>
      </w:r>
    </w:p>
    <w:p>
      <w:pPr>
        <w:pStyle w:val="976"/>
        <w:numPr>
          <w:ilvl w:val="0"/>
          <w:numId w:val="33"/>
        </w:numPr>
        <w:pBdr/>
        <w:spacing w:after="113"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 w:eastAsia="Calibri"/>
          <w:color w:val="000000"/>
          <w:sz w:val="22"/>
          <w:szCs w:val="22"/>
        </w:rPr>
        <w:t xml:space="preserve">1С: Специалис</w:t>
      </w:r>
      <w:r>
        <w:rPr>
          <w:rFonts w:ascii="Times New Roman" w:hAnsi="Times New Roman" w:eastAsia="Calibri"/>
          <w:color w:val="000000"/>
          <w:sz w:val="22"/>
          <w:szCs w:val="22"/>
        </w:rPr>
        <w:t xml:space="preserve">т. Платформа 1С: Предприятие 8.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76"/>
        <w:numPr>
          <w:ilvl w:val="0"/>
          <w:numId w:val="33"/>
        </w:numPr>
        <w:pBdr/>
        <w:spacing w:after="113"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 w:eastAsia="Calibri"/>
          <w:color w:val="000000"/>
          <w:sz w:val="22"/>
          <w:szCs w:val="22"/>
        </w:rPr>
        <w:t xml:space="preserve">1С: Профессионал. Платформа 1С: Предприятие 8.2.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76"/>
        <w:numPr>
          <w:ilvl w:val="0"/>
          <w:numId w:val="33"/>
        </w:numPr>
        <w:pBdr/>
        <w:spacing w:after="113"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 w:eastAsia="Calibri"/>
          <w:color w:val="000000"/>
          <w:sz w:val="22"/>
          <w:szCs w:val="22"/>
        </w:rPr>
        <w:t xml:space="preserve">1С: Профессионал по программе «1С: Бухгалтерия государственного учреждения 8».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76"/>
        <w:numPr>
          <w:ilvl w:val="0"/>
          <w:numId w:val="33"/>
        </w:numPr>
        <w:pBdr/>
        <w:spacing w:after="113"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 w:eastAsia="Calibri"/>
          <w:color w:val="000000"/>
          <w:sz w:val="22"/>
          <w:szCs w:val="22"/>
        </w:rPr>
        <w:t xml:space="preserve">КАМИН: Профессионал «Расчет заработной платы для бюджетных учреждений. Версия 3.5».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76"/>
        <w:numPr>
          <w:ilvl w:val="1"/>
          <w:numId w:val="35"/>
        </w:numPr>
        <w:pBdr/>
        <w:spacing/>
        <w:ind/>
        <w:jc w:val="both"/>
        <w:rPr>
          <w:rFonts w:ascii="Times New Roman" w:hAnsi="Times New Roman" w:eastAsia="Calibri"/>
          <w:color w:val="000000"/>
          <w:sz w:val="22"/>
          <w:szCs w:val="22"/>
        </w:rPr>
      </w:pPr>
      <w:r>
        <w:rPr>
          <w:rFonts w:ascii="Times New Roman" w:hAnsi="Times New Roman" w:eastAsia="Calibri"/>
          <w:color w:val="000000"/>
          <w:sz w:val="22"/>
          <w:szCs w:val="22"/>
        </w:rPr>
        <w:t xml:space="preserve">Обязателен о</w:t>
      </w:r>
      <w:r>
        <w:rPr>
          <w:rFonts w:ascii="Times New Roman" w:hAnsi="Times New Roman" w:eastAsia="Calibri"/>
          <w:color w:val="000000"/>
          <w:sz w:val="22"/>
          <w:szCs w:val="22"/>
        </w:rPr>
        <w:t xml:space="preserve">пыт работы с государственными казенными и бюджетными учреждениями.</w:t>
      </w:r>
      <w:r>
        <w:rPr>
          <w:rFonts w:ascii="Times New Roman" w:hAnsi="Times New Roman" w:eastAsia="Calibri"/>
          <w:color w:val="000000"/>
          <w:sz w:val="22"/>
          <w:szCs w:val="22"/>
        </w:rPr>
      </w:r>
      <w:r>
        <w:rPr>
          <w:rFonts w:ascii="Times New Roman" w:hAnsi="Times New Roman" w:eastAsia="Calibri"/>
          <w:color w:val="000000"/>
          <w:sz w:val="22"/>
          <w:szCs w:val="22"/>
        </w:rPr>
      </w:r>
    </w:p>
    <w:p>
      <w:pPr>
        <w:pStyle w:val="976"/>
        <w:numPr>
          <w:ilvl w:val="1"/>
          <w:numId w:val="35"/>
        </w:numPr>
        <w:pBdr/>
        <w:spacing/>
        <w:ind/>
        <w:jc w:val="both"/>
        <w:rPr>
          <w:rFonts w:ascii="Times New Roman" w:hAnsi="Times New Roman" w:eastAsia="Calibri"/>
          <w:color w:val="000000"/>
          <w:sz w:val="22"/>
          <w:szCs w:val="22"/>
        </w:rPr>
      </w:pPr>
      <w:r>
        <w:rPr>
          <w:rFonts w:ascii="Times New Roman" w:hAnsi="Times New Roman" w:eastAsia="Calibri"/>
          <w:color w:val="000000"/>
          <w:sz w:val="22"/>
          <w:szCs w:val="22"/>
        </w:rPr>
        <w:t xml:space="preserve">Исполнитель должен иметь статус официального партнера фирмы «1С»;</w:t>
      </w:r>
      <w:r>
        <w:rPr>
          <w:rFonts w:ascii="Times New Roman" w:hAnsi="Times New Roman" w:eastAsia="Calibri"/>
          <w:color w:val="000000"/>
          <w:sz w:val="22"/>
          <w:szCs w:val="22"/>
        </w:rPr>
      </w:r>
      <w:r>
        <w:rPr>
          <w:rFonts w:ascii="Times New Roman" w:hAnsi="Times New Roman" w:eastAsia="Calibri"/>
          <w:color w:val="000000"/>
          <w:sz w:val="22"/>
          <w:szCs w:val="22"/>
        </w:rPr>
      </w:r>
    </w:p>
    <w:p>
      <w:pPr>
        <w:pStyle w:val="976"/>
        <w:numPr>
          <w:ilvl w:val="1"/>
          <w:numId w:val="35"/>
        </w:numPr>
        <w:pBdr/>
        <w:spacing/>
        <w:ind/>
        <w:jc w:val="both"/>
        <w:rPr>
          <w:rFonts w:ascii="Times New Roman" w:hAnsi="Times New Roman" w:eastAsia="Calibri"/>
          <w:color w:val="000000"/>
          <w:sz w:val="22"/>
          <w:szCs w:val="22"/>
        </w:rPr>
      </w:pPr>
      <w:r>
        <w:rPr>
          <w:rFonts w:ascii="Times New Roman" w:hAnsi="Times New Roman" w:eastAsia="Calibri"/>
          <w:color w:val="000000"/>
          <w:sz w:val="22"/>
          <w:szCs w:val="22"/>
        </w:rPr>
        <w:t xml:space="preserve">Исполнитель должен иметь лицензионный договор (договор субподряда) с фирмой разработчиком данной программы.</w:t>
      </w:r>
      <w:r>
        <w:rPr>
          <w:rFonts w:ascii="Times New Roman" w:hAnsi="Times New Roman" w:eastAsia="Calibri"/>
          <w:color w:val="000000"/>
          <w:sz w:val="22"/>
          <w:szCs w:val="22"/>
        </w:rPr>
      </w:r>
      <w:r>
        <w:rPr>
          <w:rFonts w:ascii="Times New Roman" w:hAnsi="Times New Roman" w:eastAsia="Calibri"/>
          <w:color w:val="000000"/>
          <w:sz w:val="22"/>
          <w:szCs w:val="22"/>
        </w:rPr>
      </w:r>
    </w:p>
    <w:p>
      <w:pPr>
        <w:pStyle w:val="976"/>
        <w:numPr>
          <w:ilvl w:val="1"/>
          <w:numId w:val="35"/>
        </w:numPr>
        <w:pBdr/>
        <w:spacing/>
        <w:ind/>
        <w:jc w:val="both"/>
        <w:rPr>
          <w:rFonts w:ascii="Times New Roman" w:hAnsi="Times New Roman" w:eastAsia="Calibri"/>
          <w:color w:val="000000"/>
          <w:sz w:val="22"/>
          <w:szCs w:val="22"/>
        </w:rPr>
      </w:pPr>
      <w:r>
        <w:rPr>
          <w:rFonts w:ascii="Times New Roman" w:hAnsi="Times New Roman" w:eastAsia="Calibri"/>
          <w:color w:val="000000"/>
          <w:sz w:val="22"/>
          <w:szCs w:val="22"/>
        </w:rPr>
        <w:t xml:space="preserve">Исполнитель дол</w:t>
      </w:r>
      <w:r>
        <w:rPr>
          <w:rFonts w:ascii="Times New Roman" w:hAnsi="Times New Roman" w:eastAsia="Calibri"/>
          <w:color w:val="000000"/>
          <w:sz w:val="22"/>
          <w:szCs w:val="22"/>
        </w:rPr>
        <w:t xml:space="preserve">жен иметь доступ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eastAsia="Calibri"/>
          <w:color w:val="000000"/>
          <w:sz w:val="22"/>
          <w:szCs w:val="22"/>
        </w:rPr>
        <w:t xml:space="preserve">к официальным обновлениям, услугам линии консультаций и технической поддержки программного продукта «Конфигурация для учреждений ФСИН».</w:t>
      </w:r>
      <w:r>
        <w:rPr>
          <w:rFonts w:ascii="Times New Roman" w:hAnsi="Times New Roman" w:eastAsia="Calibri"/>
          <w:color w:val="000000"/>
          <w:sz w:val="22"/>
          <w:szCs w:val="22"/>
        </w:rPr>
      </w:r>
      <w:r>
        <w:rPr>
          <w:rFonts w:ascii="Times New Roman" w:hAnsi="Times New Roman" w:eastAsia="Calibri"/>
          <w:color w:val="000000"/>
          <w:sz w:val="22"/>
          <w:szCs w:val="22"/>
        </w:rPr>
      </w:r>
    </w:p>
    <w:p>
      <w:pPr>
        <w:pStyle w:val="976"/>
        <w:numPr>
          <w:ilvl w:val="1"/>
          <w:numId w:val="35"/>
        </w:numPr>
        <w:pBdr/>
        <w:spacing/>
        <w:ind/>
        <w:jc w:val="both"/>
        <w:rPr>
          <w:rFonts w:ascii="Times New Roman" w:hAnsi="Times New Roman" w:eastAsia="Calibri"/>
          <w:color w:val="000000"/>
          <w:sz w:val="22"/>
          <w:szCs w:val="22"/>
        </w:rPr>
      </w:pPr>
      <w:r>
        <w:rPr>
          <w:rFonts w:ascii="Times New Roman" w:hAnsi="Times New Roman" w:eastAsia="Calibri"/>
          <w:color w:val="000000"/>
          <w:sz w:val="22"/>
          <w:szCs w:val="22"/>
        </w:rPr>
        <w:t xml:space="preserve">Услуги оказываются собственными силами Исполнителя без привлечения 3-х лиц.</w:t>
      </w:r>
      <w:r>
        <w:rPr>
          <w:rFonts w:ascii="Times New Roman" w:hAnsi="Times New Roman" w:eastAsia="Calibri"/>
          <w:color w:val="000000"/>
          <w:sz w:val="22"/>
          <w:szCs w:val="22"/>
        </w:rPr>
      </w:r>
      <w:r>
        <w:rPr>
          <w:rFonts w:ascii="Times New Roman" w:hAnsi="Times New Roman" w:eastAsia="Calibri"/>
          <w:color w:val="000000"/>
          <w:sz w:val="22"/>
          <w:szCs w:val="22"/>
        </w:rPr>
      </w:r>
    </w:p>
    <w:p>
      <w:pPr>
        <w:pStyle w:val="976"/>
        <w:numPr>
          <w:ilvl w:val="1"/>
          <w:numId w:val="35"/>
        </w:numPr>
        <w:pBdr/>
        <w:spacing/>
        <w:ind/>
        <w:jc w:val="both"/>
        <w:rPr>
          <w:rFonts w:ascii="Times New Roman" w:hAnsi="Times New Roman" w:eastAsia="Calibri"/>
          <w:color w:val="000000"/>
          <w:sz w:val="22"/>
          <w:szCs w:val="22"/>
        </w:rPr>
      </w:pPr>
      <w:r>
        <w:rPr>
          <w:rFonts w:ascii="Times New Roman" w:hAnsi="Times New Roman" w:eastAsia="Calibri"/>
          <w:color w:val="000000"/>
          <w:sz w:val="22"/>
          <w:szCs w:val="22"/>
        </w:rPr>
        <w:t xml:space="preserve">Отсутствие в реестре недобр</w:t>
      </w:r>
      <w:r>
        <w:rPr>
          <w:rFonts w:ascii="Times New Roman" w:hAnsi="Times New Roman" w:eastAsia="Calibri"/>
          <w:color w:val="000000"/>
          <w:sz w:val="22"/>
          <w:szCs w:val="22"/>
        </w:rPr>
        <w:t xml:space="preserve">осовестных поставщиков.</w:t>
      </w:r>
      <w:r>
        <w:rPr>
          <w:rFonts w:ascii="Times New Roman" w:hAnsi="Times New Roman" w:eastAsia="Calibri"/>
          <w:color w:val="000000"/>
          <w:sz w:val="22"/>
          <w:szCs w:val="22"/>
        </w:rPr>
      </w:r>
      <w:r>
        <w:rPr>
          <w:rFonts w:ascii="Times New Roman" w:hAnsi="Times New Roman" w:eastAsia="Calibri"/>
          <w:color w:val="000000"/>
          <w:sz w:val="22"/>
          <w:szCs w:val="22"/>
        </w:rPr>
      </w:r>
    </w:p>
    <w:p>
      <w:pPr>
        <w:pStyle w:val="976"/>
        <w:numPr>
          <w:ilvl w:val="1"/>
          <w:numId w:val="35"/>
        </w:numPr>
        <w:pBdr/>
        <w:spacing/>
        <w:ind/>
        <w:jc w:val="both"/>
        <w:rPr>
          <w:rFonts w:ascii="Times New Roman" w:hAnsi="Times New Roman" w:eastAsia="Calibri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Место оказываемых услуг: лично Исполнителем по адресу получателя услуг либо дистанционно. Дистанционное подключение должно:</w:t>
      </w:r>
      <w:r>
        <w:rPr>
          <w:rFonts w:ascii="Times New Roman" w:hAnsi="Times New Roman" w:eastAsia="Calibri"/>
          <w:color w:val="000000"/>
          <w:sz w:val="22"/>
          <w:szCs w:val="22"/>
        </w:rPr>
      </w:r>
      <w:r>
        <w:rPr>
          <w:rFonts w:ascii="Times New Roman" w:hAnsi="Times New Roman" w:eastAsia="Calibri"/>
          <w:color w:val="000000"/>
          <w:sz w:val="22"/>
          <w:szCs w:val="22"/>
        </w:rPr>
      </w:r>
    </w:p>
    <w:p>
      <w:pPr>
        <w:pStyle w:val="976"/>
        <w:pBdr/>
        <w:spacing/>
        <w:ind w:left="1512"/>
        <w:jc w:val="both"/>
        <w:rPr>
          <w:rFonts w:ascii="Times New Roman" w:hAnsi="Times New Roman" w:eastAsia="Calibri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соответствовать требованиям законодательства РФ в области защиты информации ограниченного доступа, не </w:t>
      </w:r>
      <w:r>
        <w:rPr>
          <w:rFonts w:ascii="Times New Roman" w:hAnsi="Times New Roman"/>
          <w:sz w:val="22"/>
          <w:szCs w:val="22"/>
        </w:rPr>
        <w:t xml:space="preserve">содержащей сведения, составляющие государственную тайну;</w:t>
      </w:r>
      <w:r>
        <w:rPr>
          <w:rFonts w:ascii="Times New Roman" w:hAnsi="Times New Roman" w:eastAsia="Calibri"/>
          <w:color w:val="000000"/>
          <w:sz w:val="22"/>
          <w:szCs w:val="22"/>
        </w:rPr>
      </w:r>
      <w:r>
        <w:rPr>
          <w:rFonts w:ascii="Times New Roman" w:hAnsi="Times New Roman" w:eastAsia="Calibri"/>
          <w:color w:val="000000"/>
          <w:sz w:val="22"/>
          <w:szCs w:val="22"/>
        </w:rPr>
      </w:r>
    </w:p>
    <w:p>
      <w:pPr>
        <w:pStyle w:val="976"/>
        <w:pBdr/>
        <w:spacing/>
        <w:ind w:left="1512"/>
        <w:jc w:val="both"/>
        <w:rPr>
          <w:rFonts w:ascii="Times New Roman" w:hAnsi="Times New Roman" w:eastAsia="Calibri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быть реализованным с помощью защищенного удаленного доступа через внешние информационно-телекоммуникационные сети с использованием сертифицированных средств удаленного доступа, гарантирующих исключ</w:t>
      </w:r>
      <w:r>
        <w:rPr>
          <w:rFonts w:ascii="Times New Roman" w:hAnsi="Times New Roman"/>
          <w:sz w:val="22"/>
          <w:szCs w:val="22"/>
        </w:rPr>
        <w:t xml:space="preserve">ение утечки информации по техническим каналам, несанкционированного доступа, распространения, уничтожения, искажения или блокирования доступа к ней.</w:t>
      </w:r>
      <w:r>
        <w:rPr>
          <w:rFonts w:ascii="Times New Roman" w:hAnsi="Times New Roman" w:eastAsia="Calibri"/>
          <w:color w:val="000000"/>
          <w:sz w:val="22"/>
          <w:szCs w:val="22"/>
        </w:rPr>
      </w:r>
      <w:r>
        <w:rPr>
          <w:rFonts w:ascii="Times New Roman" w:hAnsi="Times New Roman" w:eastAsia="Calibri"/>
          <w:color w:val="000000"/>
          <w:sz w:val="22"/>
          <w:szCs w:val="22"/>
        </w:rPr>
      </w:r>
    </w:p>
    <w:p>
      <w:pPr>
        <w:pStyle w:val="976"/>
        <w:pBdr/>
        <w:spacing/>
        <w:ind w:left="1512"/>
        <w:jc w:val="both"/>
        <w:rPr>
          <w:rFonts w:ascii="Times New Roman" w:hAnsi="Times New Roman" w:eastAsia="Calibri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При организации удалённого доступа Заказчик и Исполнитель совместно обеспечивают выполнение требований зако</w:t>
      </w:r>
      <w:r>
        <w:rPr>
          <w:rFonts w:ascii="Times New Roman" w:hAnsi="Times New Roman"/>
          <w:sz w:val="22"/>
          <w:szCs w:val="22"/>
        </w:rPr>
        <w:t xml:space="preserve">нодательства РФ в области защиты информации путём организации и функционирования защищённого канала связи (далее — ЗКС) следующим образом:</w:t>
      </w:r>
      <w:r>
        <w:rPr>
          <w:rFonts w:ascii="Times New Roman" w:hAnsi="Times New Roman" w:eastAsia="Calibri"/>
          <w:color w:val="000000"/>
          <w:sz w:val="22"/>
          <w:szCs w:val="22"/>
        </w:rPr>
      </w:r>
      <w:r>
        <w:rPr>
          <w:rFonts w:ascii="Times New Roman" w:hAnsi="Times New Roman" w:eastAsia="Calibri"/>
          <w:color w:val="000000"/>
          <w:sz w:val="22"/>
          <w:szCs w:val="22"/>
        </w:rPr>
      </w:r>
    </w:p>
    <w:p>
      <w:pPr>
        <w:pStyle w:val="976"/>
        <w:pBdr/>
        <w:spacing/>
        <w:ind w:left="1512"/>
        <w:jc w:val="both"/>
        <w:rPr>
          <w:rFonts w:ascii="Times New Roman" w:hAnsi="Times New Roman" w:eastAsia="Calibri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Исполнитель со своей стороны обеспечивает наличие и надлежащее функционирование сертифицированного средства криптог</w:t>
      </w:r>
      <w:r>
        <w:rPr>
          <w:rFonts w:ascii="Times New Roman" w:hAnsi="Times New Roman"/>
          <w:sz w:val="22"/>
          <w:szCs w:val="22"/>
        </w:rPr>
        <w:t xml:space="preserve">рафической защиты информации (криптографического шлюза); возможность установления и функционирования ЗКС через него;</w:t>
      </w:r>
      <w:r>
        <w:rPr>
          <w:rFonts w:ascii="Times New Roman" w:hAnsi="Times New Roman" w:eastAsia="Calibri"/>
          <w:color w:val="000000"/>
          <w:sz w:val="22"/>
          <w:szCs w:val="22"/>
        </w:rPr>
      </w:r>
      <w:r>
        <w:rPr>
          <w:rFonts w:ascii="Times New Roman" w:hAnsi="Times New Roman" w:eastAsia="Calibri"/>
          <w:color w:val="000000"/>
          <w:sz w:val="22"/>
          <w:szCs w:val="22"/>
        </w:rPr>
      </w:r>
    </w:p>
    <w:p>
      <w:pPr>
        <w:pStyle w:val="976"/>
        <w:pBdr/>
        <w:spacing/>
        <w:ind w:left="1512"/>
        <w:jc w:val="both"/>
        <w:rPr>
          <w:rFonts w:ascii="Times New Roman" w:hAnsi="Times New Roman" w:eastAsia="Calibri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Заказчик гарантирует, что со своей стороны использует сертифицированное средство удаленного доступа (ПО для удалённого доступа), </w:t>
      </w:r>
      <w:r>
        <w:rPr>
          <w:rFonts w:ascii="Times New Roman" w:hAnsi="Times New Roman"/>
          <w:sz w:val="22"/>
          <w:szCs w:val="22"/>
        </w:rPr>
        <w:t xml:space="preserve">необходимое для подключения к ЗКС между Заказчиком и Исполнителем.</w:t>
      </w:r>
      <w:r>
        <w:rPr>
          <w:rFonts w:ascii="Times New Roman" w:hAnsi="Times New Roman" w:eastAsia="Calibri"/>
          <w:color w:val="000000"/>
          <w:sz w:val="22"/>
          <w:szCs w:val="22"/>
        </w:rPr>
      </w:r>
      <w:r>
        <w:rPr>
          <w:rFonts w:ascii="Times New Roman" w:hAnsi="Times New Roman" w:eastAsia="Calibri"/>
          <w:color w:val="000000"/>
          <w:sz w:val="22"/>
          <w:szCs w:val="22"/>
        </w:rPr>
      </w:r>
    </w:p>
    <w:p>
      <w:pPr>
        <w:pStyle w:val="976"/>
        <w:pBdr/>
        <w:spacing/>
        <w:ind w:left="1512"/>
        <w:jc w:val="both"/>
        <w:rPr>
          <w:rFonts w:ascii="Times New Roman" w:hAnsi="Times New Roman" w:eastAsia="Calibri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В случае отсутствия у Заказчика сертифицированного средства удаленного доступа (ПО для удалённого доступа), с помощью которого Заказчик подключается к ЗКС, Исполнитель ответственность не не</w:t>
      </w:r>
      <w:r>
        <w:rPr>
          <w:rFonts w:ascii="Times New Roman" w:hAnsi="Times New Roman"/>
          <w:sz w:val="22"/>
          <w:szCs w:val="22"/>
        </w:rPr>
        <w:t xml:space="preserve">сет.</w:t>
      </w:r>
      <w:r>
        <w:rPr>
          <w:rFonts w:ascii="Times New Roman" w:hAnsi="Times New Roman" w:eastAsia="Calibri"/>
          <w:color w:val="000000"/>
          <w:sz w:val="22"/>
          <w:szCs w:val="22"/>
        </w:rPr>
      </w:r>
      <w:r>
        <w:rPr>
          <w:rFonts w:ascii="Times New Roman" w:hAnsi="Times New Roman" w:eastAsia="Calibri"/>
          <w:color w:val="000000"/>
          <w:sz w:val="22"/>
          <w:szCs w:val="22"/>
        </w:rPr>
      </w:r>
    </w:p>
    <w:p>
      <w:pPr>
        <w:pStyle w:val="976"/>
        <w:numPr>
          <w:ilvl w:val="1"/>
          <w:numId w:val="35"/>
        </w:numPr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Доступ к базе могут иметь только сотрудники, состоящие в штате.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76"/>
        <w:numPr>
          <w:ilvl w:val="1"/>
          <w:numId w:val="35"/>
        </w:numPr>
        <w:pBdr/>
        <w:spacing/>
        <w:ind/>
        <w:jc w:val="both"/>
        <w:rPr>
          <w:rFonts w:ascii="Times New Roman" w:hAnsi="Times New Roman" w:eastAsia="Calibri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yellow"/>
        </w:rPr>
        <w:t xml:space="preserve">Стоим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yellow"/>
        </w:rPr>
        <w:t xml:space="preserve">ость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yellow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yellow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yellow"/>
        </w:rPr>
        <w:t xml:space="preserve">ере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yellow"/>
        </w:rPr>
        <w:t xml:space="preserve">дачи неисключительного права на использование обновлений программного продукта «Конфигурация для учреждений ФСИН для 1С:Предприятие 8» (№ в реестре российского ПО: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yellow"/>
        </w:rPr>
        <w:t xml:space="preserve">5096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highlight w:val="yellow"/>
        </w:rPr>
        <w:t xml:space="preserve">), включая предоставление доступа к их получению- </w:t>
      </w:r>
      <w:r>
        <w:rPr>
          <w:rFonts w:ascii="Times New Roman" w:hAnsi="Times New Roman" w:eastAsia="Times New Roman" w:cs="Times New Roman"/>
          <w:bCs/>
          <w:sz w:val="22"/>
          <w:szCs w:val="22"/>
          <w:highlight w:val="yellow"/>
        </w:rPr>
        <w:t xml:space="preserve">104 080 (</w:t>
      </w:r>
      <w:r>
        <w:rPr>
          <w:rFonts w:ascii="Times New Roman" w:hAnsi="Times New Roman" w:eastAsia="Times New Roman" w:cs="Times New Roman"/>
          <w:bCs/>
          <w:sz w:val="22"/>
          <w:szCs w:val="22"/>
          <w:highlight w:val="yellow"/>
        </w:rPr>
        <w:t xml:space="preserve">сто четыре тысячи восемьдесят) рублей 00 копеек</w:t>
      </w:r>
      <w:r>
        <w:rPr>
          <w:rFonts w:ascii="Times New Roman" w:hAnsi="Times New Roman" w:eastAsia="Times New Roman" w:cs="Times New Roman"/>
          <w:bCs/>
          <w:sz w:val="22"/>
          <w:szCs w:val="22"/>
          <w:highlight w:val="yellow"/>
        </w:rPr>
        <w:t xml:space="preserve">, не облагается НДС (пп.26 п.2 ст.149 НК РФ).</w:t>
      </w:r>
      <w:r>
        <w:rPr>
          <w:rFonts w:ascii="Times New Roman" w:hAnsi="Times New Roman" w:eastAsia="Calibri"/>
          <w:color w:val="000000"/>
          <w:sz w:val="22"/>
          <w:szCs w:val="22"/>
        </w:rPr>
      </w:r>
      <w:r>
        <w:rPr>
          <w:rFonts w:ascii="Times New Roman" w:hAnsi="Times New Roman" w:eastAsia="Calibri"/>
          <w:color w:val="000000"/>
          <w:sz w:val="22"/>
          <w:szCs w:val="22"/>
        </w:rPr>
      </w:r>
    </w:p>
    <w:p>
      <w:pPr>
        <w:pStyle w:val="976"/>
        <w:numPr>
          <w:ilvl w:val="1"/>
          <w:numId w:val="35"/>
        </w:numPr>
        <w:pBdr/>
        <w:spacing/>
        <w:ind/>
        <w:jc w:val="both"/>
        <w:rPr>
          <w:rFonts w:ascii="Times New Roman" w:hAnsi="Times New Roman" w:eastAsia="Calibri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Срок оказания услуг: После заключения государственного контракта и до выполнения всех обязательств по настоящему контракту.</w:t>
      </w:r>
      <w:r>
        <w:rPr>
          <w:rFonts w:ascii="Times New Roman" w:hAnsi="Times New Roman" w:eastAsia="Calibri"/>
          <w:color w:val="000000"/>
          <w:sz w:val="22"/>
          <w:szCs w:val="22"/>
        </w:rPr>
      </w:r>
      <w:r>
        <w:rPr>
          <w:rFonts w:ascii="Times New Roman" w:hAnsi="Times New Roman" w:eastAsia="Calibri"/>
          <w:color w:val="000000"/>
          <w:sz w:val="22"/>
          <w:szCs w:val="22"/>
        </w:rPr>
      </w:r>
    </w:p>
    <w:p>
      <w:pPr>
        <w:pBdr/>
        <w:spacing/>
        <w:ind/>
        <w:jc w:val="both"/>
        <w:rPr>
          <w:rFonts w:ascii="Times New Roman" w:hAnsi="Times New Roman" w:eastAsia="Calibri"/>
          <w:color w:val="000000"/>
          <w:sz w:val="22"/>
          <w:szCs w:val="22"/>
        </w:rPr>
      </w:pPr>
      <w:r>
        <w:rPr>
          <w:rFonts w:ascii="Times New Roman" w:hAnsi="Times New Roman" w:eastAsia="Calibri"/>
          <w:color w:val="000000"/>
          <w:sz w:val="22"/>
          <w:szCs w:val="22"/>
        </w:rPr>
      </w:r>
      <w:r>
        <w:rPr>
          <w:rFonts w:ascii="Times New Roman" w:hAnsi="Times New Roman" w:eastAsia="Calibri"/>
          <w:color w:val="000000"/>
          <w:sz w:val="22"/>
          <w:szCs w:val="22"/>
        </w:rPr>
      </w:r>
      <w:r>
        <w:rPr>
          <w:rFonts w:ascii="Times New Roman" w:hAnsi="Times New Roman" w:eastAsia="Calibri"/>
          <w:color w:val="000000"/>
          <w:sz w:val="22"/>
          <w:szCs w:val="22"/>
        </w:rPr>
      </w:r>
    </w:p>
    <w:tbl>
      <w:tblPr>
        <w:tblW w:w="9345" w:type="dxa"/>
        <w:tblBorders/>
        <w:tblLayout w:type="fixed"/>
        <w:tblLook w:val="04A0" w:firstRow="1" w:lastRow="0" w:firstColumn="1" w:lastColumn="0" w:noHBand="0" w:noVBand="1"/>
        <w:tblStyle w:val="978"/>
      </w:tblPr>
      <w:tblGrid>
        <w:gridCol w:w="987"/>
        <w:gridCol w:w="2127"/>
        <w:gridCol w:w="1138"/>
        <w:gridCol w:w="420"/>
        <w:gridCol w:w="992"/>
        <w:gridCol w:w="1344"/>
        <w:gridCol w:w="779"/>
        <w:gridCol w:w="1558"/>
      </w:tblGrid>
      <w:tr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«Государственный заказчик»</w:t>
            </w:r>
            <w:r>
              <w:rPr>
                <w:rFonts w:ascii="Times New Roman" w:hAnsi="Times New Roman" w:eastAsia="Calibri"/>
                <w:b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Calibri"/>
                <w:b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«Исполнитель»</w:t>
            </w:r>
            <w:r>
              <w:rPr>
                <w:rFonts w:ascii="Times New Roman" w:hAnsi="Times New Roman" w:eastAsia="Calibri"/>
                <w:b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Calibri"/>
                <w:b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Calibri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Calibri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Calibri"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eastAsia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Общество с ограниче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нной ответственностью «Бухучет сервис»</w:t>
            </w:r>
            <w:r>
              <w:rPr>
                <w:rFonts w:ascii="Times New Roman" w:hAnsi="Times New Roman" w:eastAsia="Calibri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Calibri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Calibri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Calibri"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Calibri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Calibri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425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Calibri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Calibri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Calibri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Calibri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Calibri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Calibri"/>
                <w:color w:val="000000"/>
                <w:sz w:val="22"/>
                <w:szCs w:val="22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Генеральный директор:</w:t>
            </w:r>
            <w:r>
              <w:rPr>
                <w:rFonts w:ascii="Times New Roman" w:hAnsi="Times New Roman" w:eastAsia="Calibri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gridSpan w:val="3"/>
            <w:tcBorders>
              <w:left w:val="none" w:color="000000" w:sz="4" w:space="0"/>
              <w:right w:val="none" w:color="000000" w:sz="4" w:space="0"/>
            </w:tcBorders>
            <w:tcW w:w="425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Calibri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Calibri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Calibri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Calibri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Calibri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Calibri"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3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А.Г. Корлыханов</w:t>
            </w:r>
            <w:r>
              <w:rPr>
                <w:rFonts w:ascii="Times New Roman" w:hAnsi="Times New Roman" w:eastAsia="Calibri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Calibri"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3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Calibri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Calibri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Calibri"/>
                <w:color w:val="000000"/>
                <w:sz w:val="22"/>
                <w:szCs w:val="22"/>
              </w:rPr>
              <w:t xml:space="preserve">«       »</w:t>
            </w:r>
            <w:r>
              <w:rPr>
                <w:rFonts w:ascii="Times New Roman" w:hAnsi="Times New Roman" w:eastAsia="Calibri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Calibri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12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Calibri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Calibri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Calibri"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Calibri"/>
                <w:color w:val="000000"/>
                <w:sz w:val="22"/>
                <w:szCs w:val="22"/>
              </w:rPr>
              <w:t xml:space="preserve">20___г.</w:t>
            </w:r>
            <w:r>
              <w:rPr>
                <w:rFonts w:ascii="Times New Roman" w:hAnsi="Times New Roman" w:eastAsia="Calibri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Calibri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Calibri"/>
                <w:color w:val="000000"/>
                <w:sz w:val="22"/>
                <w:szCs w:val="22"/>
              </w:rPr>
              <w:t xml:space="preserve">«       »</w:t>
            </w:r>
            <w:r>
              <w:rPr>
                <w:rFonts w:ascii="Times New Roman" w:hAnsi="Times New Roman" w:eastAsia="Calibri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Calibri"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123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Calibri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Calibri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Calibri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Calibri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Calibri"/>
                <w:color w:val="000000"/>
                <w:sz w:val="22"/>
                <w:szCs w:val="22"/>
              </w:rPr>
              <w:t xml:space="preserve">20___г.</w:t>
            </w:r>
            <w:r>
              <w:rPr>
                <w:rFonts w:ascii="Times New Roman" w:hAnsi="Times New Roman" w:eastAsia="Calibri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Calibri"/>
                <w:color w:val="000000"/>
                <w:sz w:val="22"/>
                <w:szCs w:val="22"/>
              </w:rPr>
            </w:r>
          </w:p>
        </w:tc>
      </w:tr>
    </w:tbl>
    <w:p>
      <w:pPr>
        <w:pBdr/>
        <w:spacing/>
        <w:ind/>
        <w:jc w:val="both"/>
        <w:rPr>
          <w:rFonts w:ascii="Times New Roman" w:hAnsi="Times New Roman" w:eastAsia="Calibri"/>
          <w:color w:val="000000"/>
          <w:sz w:val="22"/>
          <w:szCs w:val="22"/>
        </w:rPr>
      </w:pPr>
      <w:r>
        <w:rPr>
          <w:rFonts w:ascii="Times New Roman" w:hAnsi="Times New Roman" w:eastAsia="Calibri"/>
          <w:color w:val="000000"/>
          <w:sz w:val="22"/>
          <w:szCs w:val="22"/>
        </w:rPr>
      </w:r>
      <w:r>
        <w:rPr>
          <w:rFonts w:ascii="Times New Roman" w:hAnsi="Times New Roman" w:eastAsia="Calibri"/>
          <w:color w:val="000000"/>
          <w:sz w:val="22"/>
          <w:szCs w:val="22"/>
        </w:rPr>
      </w:r>
      <w:r>
        <w:rPr>
          <w:rFonts w:ascii="Times New Roman" w:hAnsi="Times New Roman" w:eastAsia="Calibri"/>
          <w:color w:val="000000"/>
          <w:sz w:val="22"/>
          <w:szCs w:val="22"/>
        </w:rPr>
      </w:r>
    </w:p>
    <w:p>
      <w:pPr>
        <w:pStyle w:val="975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5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5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5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5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5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5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5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5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5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5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5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5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5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5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5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5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5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5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5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5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5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5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5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5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5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5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5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5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5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5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5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5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5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5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5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5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74"/>
        <w:pBdr/>
        <w:spacing/>
        <w:ind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Приложение №2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974"/>
        <w:pBdr/>
        <w:spacing/>
        <w:ind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к ГК №__________от ____________________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pStyle w:val="975"/>
        <w:pBdr/>
        <w:tabs>
          <w:tab w:val="left" w:leader="none" w:pos="6956"/>
        </w:tabs>
        <w:spacing/>
        <w:ind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75"/>
        <w:pBdr/>
        <w:tabs>
          <w:tab w:val="left" w:leader="none" w:pos="6956"/>
        </w:tabs>
        <w:spacing/>
        <w:ind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75"/>
        <w:pBdr/>
        <w:tabs>
          <w:tab w:val="left" w:leader="none" w:pos="6956"/>
        </w:tabs>
        <w:spacing/>
        <w:ind/>
        <w:jc w:val="center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Спецификация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75"/>
        <w:pBdr/>
        <w:tabs>
          <w:tab w:val="left" w:leader="none" w:pos="6956"/>
        </w:tabs>
        <w:spacing/>
        <w:ind/>
        <w:jc w:val="center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75"/>
        <w:pBdr/>
        <w:tabs>
          <w:tab w:val="left" w:leader="none" w:pos="6956"/>
        </w:tabs>
        <w:spacing/>
        <w:ind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0" w:type="auto"/>
        <w:tblBorders/>
        <w:tblLayout w:type="fixed"/>
        <w:tblLook w:val="04A0" w:firstRow="1" w:lastRow="0" w:firstColumn="1" w:lastColumn="0" w:noHBand="0" w:noVBand="1"/>
        <w:tblStyle w:val="978"/>
      </w:tblPr>
      <w:tblGrid>
        <w:gridCol w:w="567"/>
        <w:gridCol w:w="3260"/>
        <w:gridCol w:w="1276"/>
        <w:gridCol w:w="1417"/>
        <w:gridCol w:w="1559"/>
        <w:gridCol w:w="1276"/>
      </w:tblGrid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Style w:val="975"/>
              <w:pBdr/>
              <w:tabs>
                <w:tab w:val="left" w:leader="none" w:pos="6956"/>
              </w:tabs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№ п/п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Style w:val="975"/>
              <w:pBdr/>
              <w:tabs>
                <w:tab w:val="left" w:leader="none" w:pos="6956"/>
              </w:tabs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75"/>
              <w:pBdr/>
              <w:tabs>
                <w:tab w:val="left" w:leader="none" w:pos="6956"/>
              </w:tabs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Единица измерения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975"/>
              <w:pBdr/>
              <w:tabs>
                <w:tab w:val="left" w:leader="none" w:pos="6956"/>
              </w:tabs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Количество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975"/>
              <w:pBdr/>
              <w:tabs>
                <w:tab w:val="left" w:leader="none" w:pos="6956"/>
              </w:tabs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Стоимость за единицу, руб 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75"/>
              <w:pBdr/>
              <w:tabs>
                <w:tab w:val="left" w:leader="none" w:pos="6956"/>
              </w:tabs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Общая стоимость, руб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  <w:tr>
        <w:trPr>
          <w:trHeight w:val="2643"/>
        </w:trPr>
        <w:tc>
          <w:tcPr>
            <w:tcBorders/>
            <w:tcW w:w="567" w:type="dxa"/>
            <w:textDirection w:val="lrTb"/>
            <w:noWrap w:val="false"/>
          </w:tcPr>
          <w:p>
            <w:pPr>
              <w:pStyle w:val="975"/>
              <w:pBdr/>
              <w:tabs>
                <w:tab w:val="left" w:leader="none" w:pos="6956"/>
              </w:tabs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Style w:val="979"/>
              <w:pBdr/>
              <w:spacing/>
              <w:ind/>
              <w:jc w:val="left"/>
              <w:rPr>
                <w:b w:val="0"/>
                <w:bCs w:val="0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yellow"/>
              </w:rPr>
              <w:t xml:space="preserve">Передача неисключительного права на использование обновлений программного продукта «Конфигурация для учреждений ФСИН для 1С:Предприятие 8» (№ в реестре российского ПО: 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yellow"/>
              </w:rPr>
              <w:t xml:space="preserve">5096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yellow"/>
              </w:rPr>
              <w:t xml:space="preserve">), включая предоставление доступа к их получению, сроком на 12 мес. Тариф ПРОФ.</w:t>
            </w:r>
            <w:r>
              <w:rPr>
                <w:b w:val="0"/>
                <w:bCs w:val="0"/>
                <w:sz w:val="22"/>
                <w:szCs w:val="22"/>
                <w:highlight w:val="yellow"/>
              </w:rPr>
            </w:r>
            <w:r>
              <w:rPr>
                <w:b w:val="0"/>
                <w:bCs w:val="0"/>
                <w:sz w:val="22"/>
                <w:szCs w:val="22"/>
                <w:highlight w:val="yellow"/>
              </w:rPr>
            </w:r>
          </w:p>
          <w:p>
            <w:pPr>
              <w:pStyle w:val="975"/>
              <w:pBdr/>
              <w:tabs>
                <w:tab w:val="left" w:leader="none" w:pos="6956"/>
              </w:tabs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75"/>
              <w:pBdr/>
              <w:tabs>
                <w:tab w:val="left" w:leader="none" w:pos="6956"/>
              </w:tabs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шт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Style w:val="975"/>
              <w:pBdr/>
              <w:tabs>
                <w:tab w:val="left" w:leader="none" w:pos="6956"/>
              </w:tabs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Style w:val="975"/>
              <w:pBdr/>
              <w:tabs>
                <w:tab w:val="left" w:leader="none" w:pos="6956"/>
              </w:tabs>
              <w:spacing/>
              <w:ind/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104 080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975"/>
              <w:pBdr/>
              <w:tabs>
                <w:tab w:val="left" w:leader="none" w:pos="6956"/>
              </w:tabs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highlight w:val="yellow"/>
              </w:rPr>
              <w:t xml:space="preserve">не облагается НДС, пп.26 п.2 ст.149 НК РФ)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/>
          </w:p>
        </w:tc>
        <w:tc>
          <w:tcPr>
            <w:tcBorders/>
            <w:tcW w:w="1276" w:type="dxa"/>
            <w:textDirection w:val="lrTb"/>
            <w:noWrap w:val="false"/>
          </w:tcPr>
          <w:p>
            <w:pPr>
              <w:pStyle w:val="975"/>
              <w:pBdr/>
              <w:tabs>
                <w:tab w:val="left" w:leader="none" w:pos="6956"/>
              </w:tabs>
              <w:spacing/>
              <w:ind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</w:tr>
    </w:tbl>
    <w:p>
      <w:pPr>
        <w:pStyle w:val="975"/>
        <w:pBdr/>
        <w:tabs>
          <w:tab w:val="left" w:leader="none" w:pos="6956"/>
        </w:tabs>
        <w:spacing/>
        <w:ind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75"/>
        <w:pBdr/>
        <w:spacing/>
        <w:ind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75"/>
        <w:pBdr/>
        <w:spacing/>
        <w:ind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75"/>
        <w:pBdr/>
        <w:spacing/>
        <w:ind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Ind w:w="108" w:type="dxa"/>
        <w:tblW w:w="0" w:type="auto"/>
        <w:tblBorders/>
        <w:tblLook w:val="04A0" w:firstRow="1" w:lastRow="0" w:firstColumn="1" w:lastColumn="0" w:noHBand="0" w:noVBand="1"/>
      </w:tblPr>
      <w:tblGrid>
        <w:gridCol w:w="4800"/>
        <w:gridCol w:w="4663"/>
      </w:tblGrid>
      <w:tr>
        <w:trPr>
          <w:trHeight w:val="1983"/>
        </w:trPr>
        <w:tc>
          <w:tcPr>
            <w:tcBorders/>
            <w:tcW w:w="4928" w:type="dxa"/>
            <w:textDirection w:val="lrTb"/>
            <w:noWrap w:val="false"/>
          </w:tcPr>
          <w:p>
            <w:pPr>
              <w:pStyle w:val="980"/>
              <w:pBdr/>
              <w:shd w:val="clear" w:color="auto" w:fill="auto"/>
              <w:spacing w:line="240" w:lineRule="auto"/>
              <w: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ru-RU" w:eastAsia="ru-RU"/>
              </w:rPr>
              <w:t xml:space="preserve">Государственный заказчик: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pStyle w:val="980"/>
              <w:pBdr/>
              <w:shd w:val="clear" w:color="auto" w:fill="auto"/>
              <w:spacing w:line="240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80"/>
              <w:pBdr/>
              <w:shd w:val="clear" w:color="auto" w:fill="auto"/>
              <w:spacing w:line="240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80"/>
              <w:pBdr/>
              <w:shd w:val="clear" w:color="auto" w:fill="auto"/>
              <w:spacing w:line="240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80"/>
              <w:pBdr/>
              <w:shd w:val="clear" w:color="auto" w:fill="auto"/>
              <w:spacing w:line="240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  <w:t xml:space="preserve">___________________ /_________________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80"/>
              <w:pBdr/>
              <w:shd w:val="clear" w:color="auto" w:fill="auto"/>
              <w:spacing w:line="240" w:lineRule="auto"/>
              <w:ind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vertAlign w:val="superscript"/>
                <w:lang w:val="ru-RU" w:eastAsia="ru-RU"/>
              </w:rPr>
              <w:t xml:space="preserve">МП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r>
          </w:p>
        </w:tc>
        <w:tc>
          <w:tcPr>
            <w:tcBorders/>
            <w:tcW w:w="4783" w:type="dxa"/>
            <w:textDirection w:val="lrTb"/>
            <w:noWrap w:val="false"/>
          </w:tcPr>
          <w:p>
            <w:pPr>
              <w:pStyle w:val="980"/>
              <w:pBdr/>
              <w:shd w:val="clear" w:color="auto" w:fill="auto"/>
              <w:spacing w:line="240" w:lineRule="auto"/>
              <w: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ru-RU" w:eastAsia="ru-RU"/>
              </w:rPr>
              <w:t xml:space="preserve">«Исполнитель»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pStyle w:val="980"/>
              <w:pBdr/>
              <w:shd w:val="clear" w:color="auto" w:fill="auto"/>
              <w:spacing w:line="240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80"/>
              <w:pBdr/>
              <w:shd w:val="clear" w:color="auto" w:fill="auto"/>
              <w:spacing w:line="240" w:lineRule="auto"/>
              <w:ind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80"/>
              <w:pBdr/>
              <w:shd w:val="clear" w:color="auto" w:fill="auto"/>
              <w:spacing w:line="240" w:lineRule="auto"/>
              <w:ind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80"/>
              <w:pBdr/>
              <w:shd w:val="clear" w:color="auto" w:fill="auto"/>
              <w:spacing w:line="240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ru-RU" w:eastAsia="ru-RU"/>
              </w:rPr>
              <w:t xml:space="preserve">__________________/ Корлыханов А.Г.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80"/>
              <w:pBdr/>
              <w:shd w:val="clear" w:color="auto" w:fill="auto"/>
              <w:spacing w:line="240" w:lineRule="auto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vertAlign w:val="superscript"/>
                <w:lang w:val="ru-RU" w:eastAsia="ru-RU"/>
              </w:rPr>
              <w:t xml:space="preserve">МП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975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h="16838" w:orient="portrait" w:w="11906"/>
      <w:pgMar w:top="1134" w:right="850" w:bottom="1134" w:left="1701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Liberation Sans">
    <w:panose1 w:val="020B0604020202020204"/>
  </w:font>
  <w:font w:name="Lucida Sans Unicode">
    <w:panose1 w:val="020B0602030504020204"/>
  </w:font>
  <w:font w:name="Microsoft YaHei">
    <w:panose1 w:val="020B050302020402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"/>
      <w:numFmt w:val="bullet"/>
      <w:pPr>
        <w:pBdr/>
        <w:tabs>
          <w:tab w:val="num" w:leader="none" w:pos="420"/>
        </w:tabs>
        <w:spacing/>
        <w:ind w:hanging="420" w:left="4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"/>
      <w:numFmt w:val="bullet"/>
      <w:pPr>
        <w:pBdr/>
        <w:tabs>
          <w:tab w:val="num" w:leader="none" w:pos="840"/>
        </w:tabs>
        <w:spacing/>
        <w:ind w:hanging="420" w:left="840"/>
      </w:pPr>
      <w:rPr>
        <w:rFonts w:hint="default" w:ascii="Symbol" w:hAnsi="Symbol" w:cs="Symbol"/>
      </w:rPr>
      <w:start w:val="1"/>
      <w:suff w:val="tab"/>
    </w:lvl>
    <w:lvl w:ilvl="2">
      <w:isLgl w:val="false"/>
      <w:lvlJc w:val="left"/>
      <w:lvlText w:val=""/>
      <w:numFmt w:val="bullet"/>
      <w:pPr>
        <w:pBdr/>
        <w:tabs>
          <w:tab w:val="num" w:leader="none" w:pos="1260"/>
        </w:tabs>
        <w:spacing/>
        <w:ind w:hanging="420" w:left="1260"/>
      </w:pPr>
      <w:rPr>
        <w:rFonts w:hint="default" w:ascii="Symbol" w:hAnsi="Symbol" w:cs="Symbol"/>
      </w:rPr>
      <w:start w:val="1"/>
      <w:suff w:val="tab"/>
    </w:lvl>
    <w:lvl w:ilvl="3">
      <w:isLgl w:val="false"/>
      <w:lvlJc w:val="left"/>
      <w:lvlText w:val=""/>
      <w:numFmt w:val="bullet"/>
      <w:pPr>
        <w:pBdr/>
        <w:tabs>
          <w:tab w:val="num" w:leader="none" w:pos="1680"/>
        </w:tabs>
        <w:spacing/>
        <w:ind w:hanging="420" w:left="16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"/>
      <w:numFmt w:val="bullet"/>
      <w:pPr>
        <w:pBdr/>
        <w:tabs>
          <w:tab w:val="num" w:leader="none" w:pos="2100"/>
        </w:tabs>
        <w:spacing/>
        <w:ind w:hanging="420" w:left="2100"/>
      </w:pPr>
      <w:rPr>
        <w:rFonts w:hint="default" w:ascii="Symbol" w:hAnsi="Symbol" w:cs="Symbol"/>
      </w:rPr>
      <w:start w:val="1"/>
      <w:suff w:val="tab"/>
    </w:lvl>
    <w:lvl w:ilvl="5">
      <w:isLgl w:val="false"/>
      <w:lvlJc w:val="left"/>
      <w:lvlText w:val=""/>
      <w:numFmt w:val="bullet"/>
      <w:pPr>
        <w:pBdr/>
        <w:tabs>
          <w:tab w:val="num" w:leader="none" w:pos="2520"/>
        </w:tabs>
        <w:spacing/>
        <w:ind w:hanging="420" w:left="2520"/>
      </w:pPr>
      <w:rPr>
        <w:rFonts w:hint="default" w:ascii="Symbol" w:hAnsi="Symbol" w:cs="Symbol"/>
      </w:rPr>
      <w:start w:val="1"/>
      <w:suff w:val="tab"/>
    </w:lvl>
    <w:lvl w:ilvl="6">
      <w:isLgl w:val="false"/>
      <w:lvlJc w:val="left"/>
      <w:lvlText w:val=""/>
      <w:numFmt w:val="bullet"/>
      <w:pPr>
        <w:pBdr/>
        <w:tabs>
          <w:tab w:val="num" w:leader="none" w:pos="2940"/>
        </w:tabs>
        <w:spacing/>
        <w:ind w:hanging="420" w:left="29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"/>
      <w:numFmt w:val="bullet"/>
      <w:pPr>
        <w:pBdr/>
        <w:tabs>
          <w:tab w:val="num" w:leader="none" w:pos="3360"/>
        </w:tabs>
        <w:spacing/>
        <w:ind w:hanging="420" w:left="3360"/>
      </w:pPr>
      <w:rPr>
        <w:rFonts w:hint="default" w:ascii="Symbol" w:hAnsi="Symbol" w:cs="Symbol"/>
      </w:rPr>
      <w:start w:val="1"/>
      <w:suff w:val="tab"/>
    </w:lvl>
    <w:lvl w:ilvl="8">
      <w:isLgl w:val="false"/>
      <w:lvlJc w:val="left"/>
      <w:lvlText w:val=""/>
      <w:numFmt w:val="bullet"/>
      <w:pPr>
        <w:pBdr/>
        <w:tabs>
          <w:tab w:val="num" w:leader="none" w:pos="3780"/>
        </w:tabs>
        <w:spacing/>
        <w:ind w:hanging="420" w:left="3780"/>
      </w:pPr>
      <w:rPr>
        <w:rFonts w:hint="default" w:ascii="Symbol" w:hAnsi="Symbol" w:cs="Symbol"/>
      </w:rPr>
      <w:start w:val="1"/>
      <w:suff w:val="tab"/>
    </w:lvl>
  </w:abstractNum>
  <w:abstractNum w:abstractNumId="1">
    <w:lvl w:ilvl="0">
      <w:isLgl w:val="false"/>
      <w:lvlJc w:val="left"/>
      <w:lvlText w:val="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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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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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7200"/>
      </w:pPr>
      <w:rPr>
        <w:rFonts w:hint="default" w:ascii="Wingdings" w:hAnsi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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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"/>
      <w:numFmt w:val="bullet"/>
      <w:pPr>
        <w:pBdr/>
        <w:tabs>
          <w:tab w:val="num" w:leader="none" w:pos="0"/>
        </w:tabs>
        <w:spacing/>
        <w:ind w:hanging="360" w:left="465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18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1905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625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34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065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4785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50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225"/>
      </w:pPr>
      <w:rPr>
        <w:rFonts w:hint="default" w:ascii="Wingdings" w:hAnsi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1512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2232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952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3672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439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5112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832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655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7272"/>
      </w:pPr>
      <w:rPr>
        <w:rFonts w:hint="default" w:ascii="Wingdings" w:hAnsi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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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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14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114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8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58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330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40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74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46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61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900"/>
      </w:pPr>
      <w:rPr>
        <w:rFonts w:hint="default" w:ascii="Wingdings" w:hAnsi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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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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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19">
    <w:lvl w:ilvl="0">
      <w:isLgl w:val="false"/>
      <w:lvlJc w:val="left"/>
      <w:lvlText w:val="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20">
    <w:lvl w:ilvl="0">
      <w:isLgl w:val="false"/>
      <w:lvlJc w:val="left"/>
      <w:lvlText w:val="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21">
    <w:lvl w:ilvl="0">
      <w:isLgl w:val="false"/>
      <w:lvlJc w:val="left"/>
      <w:lvlText w:val="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22">
    <w:lvl w:ilvl="0">
      <w:isLgl w:val="false"/>
      <w:lvlJc w:val="left"/>
      <w:lvlText w:val="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23">
    <w:lvl w:ilvl="0">
      <w:isLgl w:val="false"/>
      <w:lvlJc w:val="left"/>
      <w:lvlText w:val="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24">
    <w:lvl w:ilvl="0">
      <w:isLgl w:val="false"/>
      <w:lvlJc w:val="left"/>
      <w:lvlText w:val="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25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26">
    <w:lvl w:ilvl="0">
      <w:isLgl w:val="false"/>
      <w:lvlJc w:val="left"/>
      <w:lvlText w:val="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27">
    <w:lvl w:ilvl="0">
      <w:isLgl w:val="false"/>
      <w:lvlJc w:val="left"/>
      <w:lvlText w:val="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28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9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7200"/>
      </w:pPr>
      <w:rPr>
        <w:rFonts w:hint="default" w:ascii="Wingdings" w:hAnsi="Wingdings" w:cs="Wingdings"/>
      </w:rPr>
      <w:start w:val="1"/>
      <w:suff w:val="tab"/>
    </w:lvl>
  </w:abstractNum>
  <w:abstractNum w:abstractNumId="30">
    <w:lvl w:ilvl="0">
      <w:isLgl w:val="false"/>
      <w:lvlJc w:val="left"/>
      <w:lvlText w:val="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31">
    <w:lvl w:ilvl="0">
      <w:isLgl w:val="false"/>
      <w:lvlJc w:val="left"/>
      <w:lvlText w:val="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32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abstractNum w:abstractNumId="33">
    <w:lvl w:ilvl="0">
      <w:isLgl w:val="false"/>
      <w:lvlJc w:val="left"/>
      <w:lvlText w:val="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34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7200"/>
      </w:pPr>
      <w:rPr>
        <w:rFonts w:hint="default" w:ascii="Wingdings" w:hAnsi="Wingdings" w:cs="Wingdings"/>
      </w:rPr>
      <w:start w:val="1"/>
      <w:suff w:val="tab"/>
    </w:lvl>
  </w:abstractNum>
  <w:abstractNum w:abstractNumId="35">
    <w:lvl w:ilvl="0">
      <w:isLgl w:val="false"/>
      <w:lvlJc w:val="left"/>
      <w:lvlText w:val="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Symbol" w:hAnsi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Wingdings" w:hAnsi="Wingdings" w:cs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Symbol" w:hAnsi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Wingdings" w:hAnsi="Wingdings" w:cs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Symbol" w:hAnsi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Wingdings" w:hAnsi="Wingdings" w:cs="Wingdings"/>
      </w:rPr>
      <w:start w:val="1"/>
      <w:suff w:val="tab"/>
    </w:lvl>
  </w:abstractNum>
  <w:abstractNum w:abstractNumId="36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2" w:left="792"/>
      </w:pPr>
      <w:rPr>
        <w:b w:val="0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num w:numId="1">
    <w:abstractNumId w:val="27"/>
  </w:num>
  <w:num w:numId="2">
    <w:abstractNumId w:val="5"/>
  </w:num>
  <w:num w:numId="3">
    <w:abstractNumId w:val="33"/>
  </w:num>
  <w:num w:numId="4">
    <w:abstractNumId w:val="19"/>
  </w:num>
  <w:num w:numId="5">
    <w:abstractNumId w:val="16"/>
  </w:num>
  <w:num w:numId="6">
    <w:abstractNumId w:val="13"/>
  </w:num>
  <w:num w:numId="7">
    <w:abstractNumId w:val="24"/>
  </w:num>
  <w:num w:numId="8">
    <w:abstractNumId w:val="7"/>
  </w:num>
  <w:num w:numId="9">
    <w:abstractNumId w:val="2"/>
  </w:num>
  <w:num w:numId="10">
    <w:abstractNumId w:val="17"/>
  </w:num>
  <w:num w:numId="11">
    <w:abstractNumId w:val="14"/>
  </w:num>
  <w:num w:numId="12">
    <w:abstractNumId w:val="25"/>
  </w:num>
  <w:num w:numId="13">
    <w:abstractNumId w:val="15"/>
  </w:num>
  <w:num w:numId="14">
    <w:abstractNumId w:val="4"/>
  </w:num>
  <w:num w:numId="15">
    <w:abstractNumId w:val="9"/>
  </w:num>
  <w:num w:numId="16">
    <w:abstractNumId w:val="21"/>
  </w:num>
  <w:num w:numId="17">
    <w:abstractNumId w:val="22"/>
  </w:num>
  <w:num w:numId="18">
    <w:abstractNumId w:val="8"/>
  </w:num>
  <w:num w:numId="19">
    <w:abstractNumId w:val="20"/>
  </w:num>
  <w:num w:numId="20">
    <w:abstractNumId w:val="1"/>
  </w:num>
  <w:num w:numId="21">
    <w:abstractNumId w:val="26"/>
  </w:num>
  <w:num w:numId="22">
    <w:abstractNumId w:val="29"/>
  </w:num>
  <w:num w:numId="23">
    <w:abstractNumId w:val="35"/>
  </w:num>
  <w:num w:numId="24">
    <w:abstractNumId w:val="11"/>
  </w:num>
  <w:num w:numId="25">
    <w:abstractNumId w:val="18"/>
  </w:num>
  <w:num w:numId="26">
    <w:abstractNumId w:val="12"/>
  </w:num>
  <w:num w:numId="27">
    <w:abstractNumId w:val="31"/>
  </w:num>
  <w:num w:numId="28">
    <w:abstractNumId w:val="3"/>
  </w:num>
  <w:num w:numId="29">
    <w:abstractNumId w:val="23"/>
  </w:num>
  <w:num w:numId="30">
    <w:abstractNumId w:val="34"/>
  </w:num>
  <w:num w:numId="31">
    <w:abstractNumId w:val="30"/>
  </w:num>
  <w:num w:numId="32">
    <w:abstractNumId w:val="6"/>
  </w:num>
  <w:num w:numId="33">
    <w:abstractNumId w:val="10"/>
  </w:num>
  <w:num w:numId="34">
    <w:abstractNumId w:val="0"/>
  </w:num>
  <w:num w:numId="35">
    <w:abstractNumId w:val="32"/>
  </w:num>
  <w:num w:numId="36">
    <w:abstractNumId w:val="28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75">
    <w:name w:val="Table Grid Light"/>
    <w:basedOn w:val="95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1"/>
    <w:basedOn w:val="95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2"/>
    <w:basedOn w:val="95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3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4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5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1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2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3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4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5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6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1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2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3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4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5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6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1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2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3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4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5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6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"/>
    <w:basedOn w:val="9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1"/>
    <w:basedOn w:val="9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2"/>
    <w:basedOn w:val="9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3"/>
    <w:basedOn w:val="9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4"/>
    <w:basedOn w:val="9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5"/>
    <w:basedOn w:val="9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6"/>
    <w:basedOn w:val="9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- Accent 1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2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3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- Accent 4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 - Accent 5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 - Accent 6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1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2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3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4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5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6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1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2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3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4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5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6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1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2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3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4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5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6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1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2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3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4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5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6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1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2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3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4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5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6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1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2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3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4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5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6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1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2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3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4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5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6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1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2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3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4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5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6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1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2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3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4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5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6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"/>
    <w:basedOn w:val="9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1"/>
    <w:basedOn w:val="9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2"/>
    <w:basedOn w:val="9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3"/>
    <w:basedOn w:val="9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4"/>
    <w:basedOn w:val="9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ned - Accent 5"/>
    <w:basedOn w:val="9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ned - Accent 6"/>
    <w:basedOn w:val="9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"/>
    <w:basedOn w:val="9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1"/>
    <w:basedOn w:val="9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2"/>
    <w:basedOn w:val="9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3"/>
    <w:basedOn w:val="9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4"/>
    <w:basedOn w:val="9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&amp; Lined - Accent 5"/>
    <w:basedOn w:val="9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&amp; Lined - Accent 6"/>
    <w:basedOn w:val="9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1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2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3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4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Bordered - Accent 5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Bordered - Accent 6"/>
    <w:basedOn w:val="9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0">
    <w:name w:val="Heading 1"/>
    <w:basedOn w:val="955"/>
    <w:next w:val="955"/>
    <w:link w:val="90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01">
    <w:name w:val="Heading 2"/>
    <w:basedOn w:val="955"/>
    <w:next w:val="955"/>
    <w:link w:val="90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02">
    <w:name w:val="Heading 5"/>
    <w:basedOn w:val="955"/>
    <w:next w:val="955"/>
    <w:link w:val="91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3">
    <w:name w:val="Heading 6"/>
    <w:basedOn w:val="955"/>
    <w:next w:val="955"/>
    <w:link w:val="91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4">
    <w:name w:val="Heading 7"/>
    <w:basedOn w:val="955"/>
    <w:next w:val="955"/>
    <w:link w:val="91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5">
    <w:name w:val="Heading 8"/>
    <w:basedOn w:val="955"/>
    <w:next w:val="955"/>
    <w:link w:val="91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6">
    <w:name w:val="Heading 9"/>
    <w:basedOn w:val="955"/>
    <w:next w:val="955"/>
    <w:link w:val="91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7">
    <w:name w:val="Heading 1 Char"/>
    <w:basedOn w:val="958"/>
    <w:link w:val="90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8">
    <w:name w:val="Heading 2 Char"/>
    <w:basedOn w:val="958"/>
    <w:link w:val="9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9">
    <w:name w:val="Heading 3 Char"/>
    <w:basedOn w:val="958"/>
    <w:link w:val="9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0">
    <w:name w:val="Heading 4 Char"/>
    <w:basedOn w:val="958"/>
    <w:link w:val="95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1">
    <w:name w:val="Heading 5 Char"/>
    <w:basedOn w:val="958"/>
    <w:link w:val="9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2">
    <w:name w:val="Heading 6 Char"/>
    <w:basedOn w:val="958"/>
    <w:link w:val="90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3">
    <w:name w:val="Heading 7 Char"/>
    <w:basedOn w:val="958"/>
    <w:link w:val="90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4">
    <w:name w:val="Heading 8 Char"/>
    <w:basedOn w:val="958"/>
    <w:link w:val="90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5">
    <w:name w:val="Heading 9 Char"/>
    <w:basedOn w:val="958"/>
    <w:link w:val="9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6">
    <w:name w:val="Title Char"/>
    <w:basedOn w:val="958"/>
    <w:link w:val="96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7">
    <w:name w:val="Subtitle"/>
    <w:basedOn w:val="955"/>
    <w:next w:val="955"/>
    <w:link w:val="91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8">
    <w:name w:val="Subtitle Char"/>
    <w:basedOn w:val="958"/>
    <w:link w:val="91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9">
    <w:name w:val="Quote"/>
    <w:basedOn w:val="955"/>
    <w:next w:val="955"/>
    <w:link w:val="92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0">
    <w:name w:val="Quote Char"/>
    <w:basedOn w:val="958"/>
    <w:link w:val="91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21">
    <w:name w:val="Intense Emphasis"/>
    <w:basedOn w:val="95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2">
    <w:name w:val="Intense Quote"/>
    <w:basedOn w:val="955"/>
    <w:next w:val="955"/>
    <w:link w:val="92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3">
    <w:name w:val="Intense Quote Char"/>
    <w:basedOn w:val="958"/>
    <w:link w:val="92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4">
    <w:name w:val="Intense Reference"/>
    <w:basedOn w:val="95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5">
    <w:name w:val="No Spacing"/>
    <w:basedOn w:val="955"/>
    <w:uiPriority w:val="1"/>
    <w:qFormat/>
    <w:pPr>
      <w:pBdr/>
      <w:spacing w:after="0" w:line="240" w:lineRule="auto"/>
      <w:ind/>
    </w:pPr>
  </w:style>
  <w:style w:type="character" w:styleId="926">
    <w:name w:val="Subtle Emphasis"/>
    <w:basedOn w:val="95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7">
    <w:name w:val="Emphasis"/>
    <w:basedOn w:val="958"/>
    <w:uiPriority w:val="20"/>
    <w:qFormat/>
    <w:pPr>
      <w:pBdr/>
      <w:spacing/>
      <w:ind/>
    </w:pPr>
    <w:rPr>
      <w:i/>
      <w:iCs/>
    </w:rPr>
  </w:style>
  <w:style w:type="character" w:styleId="928">
    <w:name w:val="Strong"/>
    <w:basedOn w:val="958"/>
    <w:uiPriority w:val="22"/>
    <w:qFormat/>
    <w:pPr>
      <w:pBdr/>
      <w:spacing/>
      <w:ind/>
    </w:pPr>
    <w:rPr>
      <w:b/>
      <w:bCs/>
    </w:rPr>
  </w:style>
  <w:style w:type="character" w:styleId="929">
    <w:name w:val="Subtle Reference"/>
    <w:basedOn w:val="95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0">
    <w:name w:val="Book Title"/>
    <w:basedOn w:val="95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1">
    <w:name w:val="Header"/>
    <w:basedOn w:val="955"/>
    <w:link w:val="93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2">
    <w:name w:val="Header Char"/>
    <w:basedOn w:val="958"/>
    <w:link w:val="931"/>
    <w:uiPriority w:val="99"/>
    <w:pPr>
      <w:pBdr/>
      <w:spacing/>
      <w:ind/>
    </w:pPr>
  </w:style>
  <w:style w:type="paragraph" w:styleId="933">
    <w:name w:val="Footer"/>
    <w:basedOn w:val="955"/>
    <w:link w:val="93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4">
    <w:name w:val="Footer Char"/>
    <w:basedOn w:val="958"/>
    <w:link w:val="933"/>
    <w:uiPriority w:val="99"/>
    <w:pPr>
      <w:pBdr/>
      <w:spacing/>
      <w:ind/>
    </w:pPr>
  </w:style>
  <w:style w:type="paragraph" w:styleId="935">
    <w:name w:val="footnote text"/>
    <w:basedOn w:val="955"/>
    <w:link w:val="93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6">
    <w:name w:val="Footnote Text Char"/>
    <w:basedOn w:val="958"/>
    <w:link w:val="935"/>
    <w:uiPriority w:val="99"/>
    <w:semiHidden/>
    <w:pPr>
      <w:pBdr/>
      <w:spacing/>
      <w:ind/>
    </w:pPr>
    <w:rPr>
      <w:sz w:val="20"/>
      <w:szCs w:val="20"/>
    </w:rPr>
  </w:style>
  <w:style w:type="character" w:styleId="937">
    <w:name w:val="footnote reference"/>
    <w:basedOn w:val="958"/>
    <w:uiPriority w:val="99"/>
    <w:semiHidden/>
    <w:unhideWhenUsed/>
    <w:pPr>
      <w:pBdr/>
      <w:spacing/>
      <w:ind/>
    </w:pPr>
    <w:rPr>
      <w:vertAlign w:val="superscript"/>
    </w:rPr>
  </w:style>
  <w:style w:type="paragraph" w:styleId="938">
    <w:name w:val="endnote text"/>
    <w:basedOn w:val="955"/>
    <w:link w:val="93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9">
    <w:name w:val="Endnote Text Char"/>
    <w:basedOn w:val="958"/>
    <w:link w:val="938"/>
    <w:uiPriority w:val="99"/>
    <w:semiHidden/>
    <w:pPr>
      <w:pBdr/>
      <w:spacing/>
      <w:ind/>
    </w:pPr>
    <w:rPr>
      <w:sz w:val="20"/>
      <w:szCs w:val="20"/>
    </w:rPr>
  </w:style>
  <w:style w:type="character" w:styleId="940">
    <w:name w:val="endnote reference"/>
    <w:basedOn w:val="958"/>
    <w:uiPriority w:val="99"/>
    <w:semiHidden/>
    <w:unhideWhenUsed/>
    <w:pPr>
      <w:pBdr/>
      <w:spacing/>
      <w:ind/>
    </w:pPr>
    <w:rPr>
      <w:vertAlign w:val="superscript"/>
    </w:rPr>
  </w:style>
  <w:style w:type="character" w:styleId="941">
    <w:name w:val="Hyperlink"/>
    <w:basedOn w:val="95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2">
    <w:name w:val="FollowedHyperlink"/>
    <w:basedOn w:val="95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3">
    <w:name w:val="toc 1"/>
    <w:basedOn w:val="955"/>
    <w:next w:val="955"/>
    <w:uiPriority w:val="39"/>
    <w:unhideWhenUsed/>
    <w:pPr>
      <w:pBdr/>
      <w:spacing w:after="100"/>
      <w:ind/>
    </w:pPr>
  </w:style>
  <w:style w:type="paragraph" w:styleId="944">
    <w:name w:val="toc 2"/>
    <w:basedOn w:val="955"/>
    <w:next w:val="955"/>
    <w:uiPriority w:val="39"/>
    <w:unhideWhenUsed/>
    <w:pPr>
      <w:pBdr/>
      <w:spacing w:after="100"/>
      <w:ind w:left="220"/>
    </w:pPr>
  </w:style>
  <w:style w:type="paragraph" w:styleId="945">
    <w:name w:val="toc 3"/>
    <w:basedOn w:val="955"/>
    <w:next w:val="955"/>
    <w:uiPriority w:val="39"/>
    <w:unhideWhenUsed/>
    <w:pPr>
      <w:pBdr/>
      <w:spacing w:after="100"/>
      <w:ind w:left="440"/>
    </w:pPr>
  </w:style>
  <w:style w:type="paragraph" w:styleId="946">
    <w:name w:val="toc 4"/>
    <w:basedOn w:val="955"/>
    <w:next w:val="955"/>
    <w:uiPriority w:val="39"/>
    <w:unhideWhenUsed/>
    <w:pPr>
      <w:pBdr/>
      <w:spacing w:after="100"/>
      <w:ind w:left="660"/>
    </w:pPr>
  </w:style>
  <w:style w:type="paragraph" w:styleId="947">
    <w:name w:val="toc 5"/>
    <w:basedOn w:val="955"/>
    <w:next w:val="955"/>
    <w:uiPriority w:val="39"/>
    <w:unhideWhenUsed/>
    <w:pPr>
      <w:pBdr/>
      <w:spacing w:after="100"/>
      <w:ind w:left="880"/>
    </w:pPr>
  </w:style>
  <w:style w:type="paragraph" w:styleId="948">
    <w:name w:val="toc 6"/>
    <w:basedOn w:val="955"/>
    <w:next w:val="955"/>
    <w:uiPriority w:val="39"/>
    <w:unhideWhenUsed/>
    <w:pPr>
      <w:pBdr/>
      <w:spacing w:after="100"/>
      <w:ind w:left="1100"/>
    </w:pPr>
  </w:style>
  <w:style w:type="paragraph" w:styleId="949">
    <w:name w:val="toc 7"/>
    <w:basedOn w:val="955"/>
    <w:next w:val="955"/>
    <w:uiPriority w:val="39"/>
    <w:unhideWhenUsed/>
    <w:pPr>
      <w:pBdr/>
      <w:spacing w:after="100"/>
      <w:ind w:left="1320"/>
    </w:pPr>
  </w:style>
  <w:style w:type="paragraph" w:styleId="950">
    <w:name w:val="toc 8"/>
    <w:basedOn w:val="955"/>
    <w:next w:val="955"/>
    <w:uiPriority w:val="39"/>
    <w:unhideWhenUsed/>
    <w:pPr>
      <w:pBdr/>
      <w:spacing w:after="100"/>
      <w:ind w:left="1540"/>
    </w:pPr>
  </w:style>
  <w:style w:type="paragraph" w:styleId="951">
    <w:name w:val="toc 9"/>
    <w:basedOn w:val="955"/>
    <w:next w:val="955"/>
    <w:uiPriority w:val="39"/>
    <w:unhideWhenUsed/>
    <w:pPr>
      <w:pBdr/>
      <w:spacing w:after="100"/>
      <w:ind w:left="1760"/>
    </w:pPr>
  </w:style>
  <w:style w:type="character" w:styleId="952">
    <w:name w:val="Placeholder Text"/>
    <w:basedOn w:val="958"/>
    <w:uiPriority w:val="99"/>
    <w:semiHidden/>
    <w:pPr>
      <w:pBdr/>
      <w:spacing/>
      <w:ind/>
    </w:pPr>
    <w:rPr>
      <w:color w:val="666666"/>
    </w:rPr>
  </w:style>
  <w:style w:type="paragraph" w:styleId="953">
    <w:name w:val="TOC Heading"/>
    <w:uiPriority w:val="39"/>
    <w:unhideWhenUsed/>
    <w:pPr>
      <w:pBdr/>
      <w:spacing/>
      <w:ind/>
    </w:pPr>
  </w:style>
  <w:style w:type="paragraph" w:styleId="954">
    <w:name w:val="table of figures"/>
    <w:basedOn w:val="955"/>
    <w:next w:val="955"/>
    <w:uiPriority w:val="99"/>
    <w:unhideWhenUsed/>
    <w:pPr>
      <w:pBdr/>
      <w:spacing w:after="0" w:afterAutospacing="0"/>
      <w:ind/>
    </w:pPr>
  </w:style>
  <w:style w:type="paragraph" w:styleId="955" w:default="1">
    <w:name w:val="Normal"/>
    <w:qFormat/>
    <w:pPr>
      <w:widowControl w:val="false"/>
      <w:pBdr/>
      <w:spacing/>
      <w:ind/>
    </w:pPr>
    <w:rPr>
      <w:rFonts w:ascii="Arial" w:hAnsi="Arial" w:eastAsia="Lucida Sans Unicode" w:cs="Times New Roman"/>
      <w:sz w:val="24"/>
      <w:szCs w:val="24"/>
      <w:lang w:eastAsia="ar-SA"/>
    </w:rPr>
  </w:style>
  <w:style w:type="paragraph" w:styleId="956">
    <w:name w:val="Heading 3"/>
    <w:basedOn w:val="955"/>
    <w:next w:val="955"/>
    <w:link w:val="963"/>
    <w:uiPriority w:val="9"/>
    <w:unhideWhenUsed/>
    <w:qFormat/>
    <w:pPr>
      <w:keepNext w:val="true"/>
      <w:keepLines w:val="true"/>
      <w:pBdr/>
      <w:spacing w:before="40"/>
      <w:ind/>
      <w:outlineLvl w:val="2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957">
    <w:name w:val="Heading 4"/>
    <w:basedOn w:val="955"/>
    <w:next w:val="955"/>
    <w:link w:val="961"/>
    <w:semiHidden/>
    <w:unhideWhenUsed/>
    <w:qFormat/>
    <w:pPr>
      <w:keepNext w:val="true"/>
      <w:pBdr/>
      <w:tabs>
        <w:tab w:val="left" w:leader="none" w:pos="360"/>
      </w:tabs>
      <w:spacing w:after="60" w:before="240"/>
      <w:ind/>
      <w:outlineLvl w:val="3"/>
    </w:pPr>
    <w:rPr>
      <w:b/>
      <w:bCs/>
      <w:sz w:val="28"/>
      <w:szCs w:val="28"/>
    </w:rPr>
  </w:style>
  <w:style w:type="character" w:styleId="958" w:default="1">
    <w:name w:val="Default Paragraph Font"/>
    <w:uiPriority w:val="1"/>
    <w:semiHidden/>
    <w:unhideWhenUsed/>
    <w:pPr>
      <w:pBdr/>
      <w:spacing/>
      <w:ind/>
    </w:pPr>
  </w:style>
  <w:style w:type="table" w:styleId="95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0" w:default="1">
    <w:name w:val="No List"/>
    <w:uiPriority w:val="99"/>
    <w:semiHidden/>
    <w:unhideWhenUsed/>
    <w:pPr>
      <w:pBdr/>
      <w:spacing/>
      <w:ind/>
    </w:pPr>
  </w:style>
  <w:style w:type="character" w:styleId="961" w:customStyle="1">
    <w:name w:val="Заголовок 4 Знак"/>
    <w:basedOn w:val="958"/>
    <w:link w:val="957"/>
    <w:semiHidden/>
    <w:qFormat/>
    <w:pPr>
      <w:pBdr/>
      <w:spacing/>
      <w:ind/>
    </w:pPr>
    <w:rPr>
      <w:rFonts w:ascii="Arial" w:hAnsi="Arial" w:eastAsia="Lucida Sans Unicode" w:cs="Times New Roman"/>
      <w:b/>
      <w:bCs/>
      <w:sz w:val="28"/>
      <w:szCs w:val="28"/>
      <w:lang w:eastAsia="ar-SA"/>
    </w:rPr>
  </w:style>
  <w:style w:type="character" w:styleId="962" w:customStyle="1">
    <w:name w:val="Основной текст с отступом Знак"/>
    <w:basedOn w:val="958"/>
    <w:semiHidden/>
    <w:qFormat/>
    <w:pPr>
      <w:pBdr/>
      <w:spacing/>
      <w:ind/>
    </w:pPr>
    <w:rPr>
      <w:rFonts w:ascii="Arial" w:hAnsi="Arial" w:eastAsia="Lucida Sans Unicode" w:cs="Times New Roman"/>
      <w:sz w:val="24"/>
      <w:szCs w:val="24"/>
      <w:lang w:eastAsia="ar-SA"/>
    </w:rPr>
  </w:style>
  <w:style w:type="character" w:styleId="963" w:customStyle="1">
    <w:name w:val="Заголовок 3 Знак"/>
    <w:basedOn w:val="958"/>
    <w:link w:val="956"/>
    <w:uiPriority w:val="9"/>
    <w:qFormat/>
    <w:pPr>
      <w:pBdr/>
      <w:spacing/>
      <w:ind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ar-SA"/>
    </w:rPr>
  </w:style>
  <w:style w:type="character" w:styleId="964" w:customStyle="1">
    <w:name w:val="Интернет-ссылка"/>
    <w:basedOn w:val="958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965" w:customStyle="1">
    <w:name w:val="Основной шрифт абзаца2"/>
    <w:qFormat/>
    <w:pPr>
      <w:pBdr/>
      <w:spacing/>
      <w:ind/>
    </w:pPr>
  </w:style>
  <w:style w:type="character" w:styleId="966" w:customStyle="1">
    <w:name w:val="Основной шрифт абзаца1"/>
    <w:qFormat/>
    <w:pPr>
      <w:pBdr/>
      <w:spacing/>
      <w:ind/>
    </w:pPr>
  </w:style>
  <w:style w:type="paragraph" w:styleId="967">
    <w:name w:val="Title"/>
    <w:basedOn w:val="955"/>
    <w:next w:val="968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968">
    <w:name w:val="Body Text"/>
    <w:basedOn w:val="955"/>
    <w:pPr>
      <w:pBdr/>
      <w:spacing w:after="140" w:line="276" w:lineRule="auto"/>
      <w:ind/>
    </w:pPr>
  </w:style>
  <w:style w:type="paragraph" w:styleId="969">
    <w:name w:val="List"/>
    <w:basedOn w:val="968"/>
    <w:pPr>
      <w:pBdr/>
      <w:spacing/>
      <w:ind/>
    </w:pPr>
    <w:rPr>
      <w:rFonts w:cs="Arial"/>
    </w:rPr>
  </w:style>
  <w:style w:type="paragraph" w:styleId="970">
    <w:name w:val="Caption"/>
    <w:basedOn w:val="955"/>
    <w:qFormat/>
    <w:pPr>
      <w:suppressLineNumbers w:val="true"/>
      <w:pBdr/>
      <w:spacing w:after="120" w:before="120"/>
      <w:ind/>
    </w:pPr>
    <w:rPr>
      <w:rFonts w:cs="Arial"/>
      <w:i/>
      <w:iCs/>
    </w:rPr>
  </w:style>
  <w:style w:type="paragraph" w:styleId="971">
    <w:name w:val="index heading"/>
    <w:basedOn w:val="955"/>
    <w:qFormat/>
    <w:pPr>
      <w:suppressLineNumbers w:val="true"/>
      <w:pBdr/>
      <w:spacing/>
      <w:ind/>
    </w:pPr>
    <w:rPr>
      <w:rFonts w:cs="Arial"/>
    </w:rPr>
  </w:style>
  <w:style w:type="paragraph" w:styleId="972">
    <w:name w:val="Normal (Web)"/>
    <w:basedOn w:val="955"/>
    <w:uiPriority w:val="99"/>
    <w:semiHidden/>
    <w:unhideWhenUsed/>
    <w:qFormat/>
    <w:pPr>
      <w:pBdr/>
      <w:spacing w:after="280" w:before="280"/>
      <w:ind/>
    </w:pPr>
  </w:style>
  <w:style w:type="paragraph" w:styleId="973">
    <w:name w:val="Body Text Indent"/>
    <w:basedOn w:val="955"/>
    <w:semiHidden/>
    <w:unhideWhenUsed/>
    <w:pPr>
      <w:pBdr/>
      <w:spacing w:after="120"/>
      <w:ind w:left="283"/>
    </w:pPr>
  </w:style>
  <w:style w:type="paragraph" w:styleId="974" w:customStyle="1">
    <w:name w:val="Текст в заданном формате"/>
    <w:basedOn w:val="955"/>
    <w:qFormat/>
    <w:pPr>
      <w:pBdr/>
      <w:spacing/>
      <w:ind/>
    </w:pPr>
    <w:rPr>
      <w:rFonts w:ascii="Courier New" w:hAnsi="Courier New" w:eastAsia="Courier New" w:cs="Courier New"/>
      <w:sz w:val="20"/>
      <w:szCs w:val="20"/>
    </w:rPr>
  </w:style>
  <w:style w:type="paragraph" w:styleId="975" w:customStyle="1">
    <w:name w:val="Default Text"/>
    <w:qFormat/>
    <w:pPr>
      <w:widowControl w:val="false"/>
      <w:pBdr/>
      <w:spacing/>
      <w:ind/>
    </w:pPr>
    <w:rPr>
      <w:rFonts w:ascii="Times New Roman" w:hAnsi="Times New Roman" w:eastAsia="Lucida Sans Unicode" w:cs="Times New Roman"/>
      <w:sz w:val="24"/>
      <w:szCs w:val="24"/>
      <w:lang w:eastAsia="ar-SA"/>
    </w:rPr>
  </w:style>
  <w:style w:type="paragraph" w:styleId="976">
    <w:name w:val="List Paragraph"/>
    <w:basedOn w:val="955"/>
    <w:uiPriority w:val="34"/>
    <w:qFormat/>
    <w:pPr>
      <w:pBdr/>
      <w:spacing/>
      <w:ind w:left="720"/>
      <w:contextualSpacing w:val="true"/>
    </w:pPr>
  </w:style>
  <w:style w:type="numbering" w:styleId="977" w:customStyle="1">
    <w:name w:val="Стиль2"/>
    <w:uiPriority w:val="99"/>
    <w:qFormat/>
    <w:pPr>
      <w:pBdr/>
      <w:spacing/>
      <w:ind/>
    </w:pPr>
  </w:style>
  <w:style w:type="table" w:styleId="978">
    <w:name w:val="Table Grid"/>
    <w:basedOn w:val="959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9" w:customStyle="1">
    <w:name w:val="Содержимое таблицы"/>
    <w:qFormat/>
    <w:pPr>
      <w:keepNext w:val="false"/>
      <w:keepLines w:val="false"/>
      <w:pageBreakBefore w:val="false"/>
      <w:widowControl w:val="false"/>
      <w:suppressLineNumber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Arial" w:hAnsi="Arial" w:eastAsia="Arial Unicode MS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80" w:customStyle="1">
    <w:name w:val="Основной текст (2)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bidi w:val="false"/>
      <w:spacing w:after="0" w:afterAutospacing="0" w:before="0" w:beforeAutospacing="0" w:line="259" w:lineRule="exact"/>
      <w:ind w:right="0" w:firstLine="0" w:left="0"/>
      <w:contextualSpacing w:val="false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F6BB1-7AAB-4492-8908-B2C953749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ONLYOFFICE/9.0.0.172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dima_p</dc:creator>
  <dc:description/>
  <dc:language>ru-RU</dc:language>
  <cp:revision>37</cp:revision>
  <dcterms:created xsi:type="dcterms:W3CDTF">2020-10-14T06:14:00Z</dcterms:created>
  <dcterms:modified xsi:type="dcterms:W3CDTF">2026-01-21T06:20:09Z</dcterms:modified>
</cp:coreProperties>
</file>