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0"/>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0"/>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0"/>
        <w:pBdr/>
        <w:spacing/>
        <w:ind/>
        <w:jc w:val="center"/>
        <w:rPr>
          <w:rFonts w:ascii="Times New Roman" w:hAnsi="Times New Roman" w:cs="Times New Roman"/>
          <w:b/>
          <w:bCs/>
          <w:sz w:val="22"/>
          <w:szCs w:val="22"/>
        </w:rPr>
      </w:pPr>
      <w:r>
        <w:rPr>
          <w:rFonts w:ascii="Times New Roman" w:hAnsi="Times New Roman" w:cs="Times New Roman"/>
          <w:b/>
          <w:sz w:val="22"/>
          <w:szCs w:val="22"/>
          <w:highlight w:val="none"/>
        </w:rPr>
      </w:r>
      <w:r>
        <w:rPr>
          <w:rFonts w:ascii="Times New Roman" w:hAnsi="Times New Roman" w:cs="Times New Roman"/>
          <w:b/>
          <w:bCs/>
          <w:sz w:val="22"/>
          <w:szCs w:val="22"/>
        </w:rPr>
      </w:r>
      <w:r>
        <w:rPr>
          <w:rFonts w:ascii="Times New Roman" w:hAnsi="Times New Roman" w:cs="Times New Roman"/>
          <w:b/>
          <w:bCs/>
          <w:sz w:val="22"/>
          <w:szCs w:val="22"/>
        </w:rPr>
      </w:r>
    </w:p>
    <w:p>
      <w:pPr>
        <w:pStyle w:val="970"/>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70"/>
        <w:pBdr/>
        <w:spacing/>
        <w:ind/>
        <w:jc w:val="center"/>
        <w:rPr>
          <w:rFonts w:ascii="Times New Roman" w:hAnsi="Times New Roman" w:cs="Times New Roman"/>
          <w:b/>
          <w:sz w:val="22"/>
          <w:szCs w:val="22"/>
          <w:highlight w:val="yellow"/>
        </w:rPr>
      </w:pPr>
      <w:r>
        <w:rPr>
          <w:rFonts w:ascii="Times New Roman" w:hAnsi="Times New Roman" w:cs="Times New Roman"/>
          <w:b/>
          <w:sz w:val="22"/>
          <w:szCs w:val="22"/>
          <w:highlight w:val="yellow"/>
        </w:rPr>
        <w:t xml:space="preserve">на 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sz w:val="22"/>
          <w:szCs w:val="22"/>
          <w:highlight w:val="yellow"/>
        </w:rPr>
      </w:r>
      <w:r>
        <w:rPr>
          <w:rFonts w:ascii="Times New Roman" w:hAnsi="Times New Roman" w:cs="Times New Roman"/>
          <w:b/>
          <w:sz w:val="22"/>
          <w:szCs w:val="22"/>
          <w:highlight w:val="yellow"/>
        </w:rPr>
      </w:r>
    </w:p>
    <w:p>
      <w:pPr>
        <w:pStyle w:val="970"/>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72"/>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Описание объекта закупки.</w:t>
      </w:r>
      <w:r>
        <w:rPr>
          <w:rFonts w:ascii="Times New Roman" w:hAnsi="Times New Roman"/>
          <w:b/>
          <w:sz w:val="22"/>
          <w:szCs w:val="22"/>
        </w:rPr>
      </w:r>
      <w:r>
        <w:rPr>
          <w:rFonts w:ascii="Times New Roman" w:hAnsi="Times New Roman"/>
          <w:b/>
          <w:sz w:val="22"/>
          <w:szCs w:val="22"/>
        </w:rPr>
      </w:r>
    </w:p>
    <w:p>
      <w:pPr>
        <w:pStyle w:val="972"/>
        <w:pBdr/>
        <w:spacing/>
        <w:ind w:left="36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708"/>
        <w:jc w:val="both"/>
        <w:rPr>
          <w:rFonts w:ascii="Times New Roman" w:hAnsi="Times New Roman"/>
          <w:sz w:val="22"/>
          <w:szCs w:val="22"/>
        </w:rPr>
      </w:pPr>
      <w:r>
        <w:rPr>
          <w:rFonts w:ascii="Times New Roman" w:hAnsi="Times New Roman"/>
          <w:sz w:val="22"/>
          <w:szCs w:val="22"/>
        </w:rPr>
        <w:t xml:space="preserve">Программный продукт на базе платфор</w:t>
      </w:r>
      <w:r>
        <w:rPr>
          <w:rFonts w:ascii="Times New Roman" w:hAnsi="Times New Roman"/>
          <w:sz w:val="22"/>
          <w:szCs w:val="22"/>
        </w:rPr>
        <w:t xml:space="preserve">мы «1С: Предприятие 8», имеющий в составе следующий комплекс готовых решений по автоматизации основных участков бухгалтерского учета и расчета заработной платы, соответствующий действующим нормативно правовым документам и специфике деятельности учреждений </w:t>
      </w:r>
      <w:r>
        <w:rPr>
          <w:rFonts w:ascii="Times New Roman" w:hAnsi="Times New Roman"/>
          <w:bCs/>
          <w:color w:val="222222"/>
          <w:sz w:val="22"/>
          <w:szCs w:val="22"/>
          <w:shd w:val="clear" w:color="auto" w:fill="ffffff"/>
        </w:rPr>
        <w:t xml:space="preserve">Федеральной службы исполнения наказаний (далее – ФСИН):</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Ind w:w="113" w:type="dxa"/>
        <w:tblW w:w="9345" w:type="dxa"/>
        <w:tblBorders/>
        <w:tblLayout w:type="fixed"/>
        <w:tblLook w:val="04A0" w:firstRow="1" w:lastRow="0" w:firstColumn="1" w:lastColumn="0" w:noHBand="0" w:noVBand="1"/>
        <w:tblStyle w:val="974"/>
      </w:tblPr>
      <w:tblGrid>
        <w:gridCol w:w="560"/>
        <w:gridCol w:w="2410"/>
        <w:gridCol w:w="6375"/>
      </w:tblGrid>
      <w:tr>
        <w:trPr/>
        <w:tc>
          <w:tcPr>
            <w:shd w:val="clear" w:color="auto" w:fill="f2f2f2" w:themeFill="background1" w:themeFillShade="F2"/>
            <w:tcBorders/>
            <w:tcW w:w="56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5"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2"/>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2"/>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72"/>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70"/>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списания сырья», «Акт приема-передачи», «Акт об оказании услуг», «Акт </w:t>
            </w:r>
            <w:r>
              <w:rPr>
                <w:rFonts w:ascii="Times New Roman" w:hAnsi="Times New Roman" w:eastAsia="Times New Roman"/>
                <w:color w:val="000000"/>
                <w:sz w:val="22"/>
                <w:szCs w:val="22"/>
                <w:shd w:val="clear" w:color="auto" w:fill="ffffff"/>
              </w:rPr>
              <w:t xml:space="preserve">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w:t>
            </w:r>
            <w:r>
              <w:rPr>
                <w:rFonts w:ascii="Times New Roman" w:hAnsi="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w:t>
            </w:r>
            <w:r>
              <w:rPr>
                <w:rFonts w:ascii="Times New Roman" w:hAnsi="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2"/>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формирования печатной формы акта на списание горюче-смазочных </w:t>
            </w:r>
            <w:r>
              <w:rPr>
                <w:rFonts w:ascii="Times New Roman" w:hAnsi="Times New Roman"/>
                <w:sz w:val="22"/>
                <w:szCs w:val="22"/>
              </w:rPr>
              <w:t xml:space="preserve">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2"/>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72"/>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w:t>
            </w:r>
            <w:r>
              <w:rPr>
                <w:rFonts w:ascii="Times New Roman" w:hAnsi="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2"/>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72"/>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72"/>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w:t>
            </w:r>
            <w:r>
              <w:rPr>
                <w:rFonts w:ascii="Times New Roman" w:hAnsi="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72"/>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72"/>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72"/>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72"/>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72"/>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72"/>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w:t>
            </w:r>
            <w:r>
              <w:rPr>
                <w:rFonts w:ascii="Times New Roman" w:hAnsi="Times New Roman"/>
                <w:sz w:val="22"/>
                <w:szCs w:val="22"/>
              </w:rPr>
              <w:t xml:space="preserve">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72"/>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72"/>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72"/>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72"/>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72"/>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72"/>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71"/>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71"/>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71"/>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71"/>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71"/>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71"/>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71"/>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71"/>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w:t>
            </w:r>
            <w:r>
              <w:rPr>
                <w:rFonts w:ascii="Times New Roman" w:hAnsi="Times New Roman"/>
                <w:sz w:val="22"/>
                <w:szCs w:val="22"/>
              </w:rPr>
              <w:t xml:space="preserve">доходов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w:t>
            </w:r>
            <w:r>
              <w:rPr>
                <w:rFonts w:ascii="Times New Roman" w:hAnsi="Times New Roman" w:eastAsia="Tahoma"/>
                <w:color w:val="000000"/>
                <w:sz w:val="22"/>
                <w:szCs w:val="22"/>
                <w:shd w:val="clear" w:color="auto" w:fill="ffffff"/>
              </w:rPr>
              <w:t xml:space="preserve">«Выписки 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72"/>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72"/>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72"/>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w:t>
            </w:r>
            <w:r>
              <w:rPr>
                <w:rFonts w:ascii="Times New Roman" w:hAnsi="Times New Roman" w:eastAsia="Tahoma"/>
                <w:color w:val="000000"/>
                <w:sz w:val="22"/>
                <w:szCs w:val="22"/>
                <w:shd w:val="clear" w:color="auto" w:fill="ffffff"/>
              </w:rPr>
              <w:t xml:space="preserve">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r>
              <w:rPr>
                <w:rFonts w:ascii="Times New Roman" w:hAnsi="Times New Roman"/>
                <w:sz w:val="22"/>
                <w:szCs w:val="22"/>
              </w:rPr>
            </w:r>
            <w:r>
              <w:rPr>
                <w:rFonts w:ascii="Times New Roman" w:hAnsi="Times New Roman"/>
                <w:sz w:val="22"/>
                <w:szCs w:val="22"/>
              </w:rPr>
            </w:r>
          </w:p>
          <w:p>
            <w:pPr>
              <w:pStyle w:val="972"/>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Style w:val="971"/>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2"/>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2"/>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2"/>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2"/>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2"/>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2"/>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2"/>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многофирменный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72"/>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rPr>
            </w:r>
            <w:r>
              <w:rPr>
                <w:rFonts w:ascii="Times New Roman" w:hAnsi="Times New Roman" w:eastAsia="Times New Roman"/>
                <w:sz w:val="22"/>
                <w:szCs w:val="22"/>
              </w:rPr>
            </w:r>
          </w:p>
          <w:p>
            <w:pPr>
              <w:numPr>
                <w:ilvl w:val="0"/>
                <w:numId w:val="17"/>
              </w:numPr>
              <w:pBdr/>
              <w:shd w:val="clear" w:color="auto" w:fill="ffffff"/>
              <w:spacing w:afterAutospacing="1"/>
              <w:ind/>
              <w:rPr>
                <w:rFonts w:ascii="Tahoma" w:hAnsi="Tahoma" w:eastAsia="Times New Roman" w:cs="Tahoma"/>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ahoma" w:hAnsi="Tahoma" w:eastAsia="Times New Roman" w:cs="Tahoma"/>
                <w:color w:val="333333"/>
                <w:sz w:val="22"/>
                <w:szCs w:val="22"/>
              </w:rPr>
            </w:r>
            <w:r>
              <w:rPr>
                <w:rFonts w:ascii="Tahoma" w:hAnsi="Tahoma" w:eastAsia="Times New Roman" w:cs="Tahoma"/>
                <w:color w:val="333333"/>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hd w:val="clear" w:color="auto" w:fill="ffffff"/>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выплат по источникам финансирования дефицита бюджета над доведенными бюджетными ассигнованиями,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непревышения кассовых расходов над утвержденными сметными (плановыми) назначениями,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18"/>
              </w:numPr>
              <w:pBdr/>
              <w:shd w:val="clear" w:color="auto" w:fill="ffffff"/>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w:t>
            </w:r>
            <w:r>
              <w:rPr>
                <w:rFonts w:ascii="Times New Roman" w:hAnsi="Times New Roman" w:eastAsia="Times New Roman"/>
                <w:color w:val="000000"/>
                <w:sz w:val="22"/>
                <w:szCs w:val="22"/>
                <w:lang w:eastAsia="ru-RU"/>
              </w:rPr>
              <w:t xml:space="preserve">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19"/>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eastAsia="Times New Roman"/>
                <w:sz w:val="22"/>
                <w:szCs w:val="22"/>
              </w:rPr>
            </w:r>
            <w:r>
              <w:rPr>
                <w:rFonts w:ascii="Times New Roman" w:hAnsi="Times New Roman" w:eastAsia="Times New Roman"/>
                <w:sz w:val="22"/>
                <w:szCs w:val="22"/>
              </w:rPr>
            </w:r>
          </w:p>
          <w:p>
            <w:p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0"/>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72"/>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w:t>
            </w:r>
            <w:r>
              <w:rPr>
                <w:rFonts w:ascii="Times New Roman" w:hAnsi="Times New Roman" w:eastAsia="Times New Roman"/>
                <w:color w:val="000000"/>
                <w:sz w:val="22"/>
                <w:szCs w:val="22"/>
                <w:lang w:eastAsia="ru-RU"/>
              </w:rPr>
              <w:t xml:space="preserve">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72"/>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72"/>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72"/>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72"/>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72"/>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72"/>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w:t>
            </w:r>
            <w:r>
              <w:rPr>
                <w:rFonts w:ascii="Times New Roman" w:hAnsi="Times New Roman" w:eastAsia="Times New Roman"/>
                <w:color w:val="000000"/>
                <w:sz w:val="22"/>
                <w:szCs w:val="22"/>
                <w:lang w:eastAsia="ru-RU"/>
              </w:rPr>
              <w:t xml:space="preserve">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72"/>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72"/>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72"/>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2"/>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rPr>
            </w:r>
            <w:r>
              <w:rPr>
                <w:rFonts w:ascii="Times New Roman" w:hAnsi="Times New Roman" w:eastAsia="Times New Roman" w:cs="Times New Roman"/>
                <w:color w:val="003399"/>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w:t>
            </w:r>
            <w:r>
              <w:rPr>
                <w:rFonts w:ascii="Times New Roman" w:hAnsi="Times New Roman" w:eastAsia="Times New Roman"/>
                <w:sz w:val="22"/>
                <w:szCs w:val="22"/>
                <w:lang w:eastAsia="ru-RU"/>
              </w:rPr>
              <w:t xml:space="preserve">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72"/>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w:t>
            </w:r>
            <w:r>
              <w:rPr>
                <w:rFonts w:ascii="Times New Roman" w:hAnsi="Times New Roman" w:eastAsia="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6"/>
              </w:numPr>
              <w:pBdr/>
              <w:shd w:val="clear" w:color="auto" w:fill="ffffff"/>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w:t>
            </w:r>
            <w:r>
              <w:rPr>
                <w:rFonts w:ascii="Times New Roman" w:hAnsi="Times New Roman" w:eastAsia="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7"/>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2"/>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rPr>
            </w:r>
            <w:r>
              <w:rPr>
                <w:rFonts w:ascii="Times New Roman" w:hAnsi="Times New Roman" w:eastAsia="Times New Roman"/>
                <w:sz w:val="22"/>
                <w:szCs w:val="22"/>
              </w:rPr>
            </w:r>
          </w:p>
          <w:p>
            <w:pPr>
              <w:pStyle w:val="972"/>
              <w:numPr>
                <w:ilvl w:val="0"/>
                <w:numId w:val="28"/>
              </w:numPr>
              <w:pBdr/>
              <w:shd w:val="clear" w:color="auto" w:fill="ffffff"/>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w:t>
            </w:r>
            <w:r>
              <w:rPr>
                <w:rFonts w:ascii="Times New Roman" w:hAnsi="Times New Roman" w:eastAsia="Times New Roman"/>
                <w:sz w:val="22"/>
                <w:szCs w:val="22"/>
                <w:lang w:eastAsia="ru-RU"/>
              </w:rPr>
              <w:t xml:space="preserve">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29"/>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 для того, чтобы можно было:</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0"/>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Verdana" w:hAnsi="Verdana" w:eastAsia="Times New Roman"/>
                <w:color w:val="000000"/>
                <w:sz w:val="22"/>
                <w:szCs w:val="22"/>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4"/>
              <w:pBdr/>
              <w:shd w:val="clear" w:color="auto" w:fill="ffffff"/>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1"/>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p>
            <w:pPr>
              <w:pStyle w:val="972"/>
              <w:numPr>
                <w:ilvl w:val="0"/>
                <w:numId w:val="32"/>
              </w:numPr>
              <w:pBdr/>
              <w:shd w:val="clear" w:color="auto" w:fill="ffffff"/>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rPr>
            </w:r>
            <w:r>
              <w:rPr>
                <w:rFonts w:ascii="Times New Roman" w:hAnsi="Times New Roman" w:eastAsia="Times New Roman"/>
                <w:color w:val="000000"/>
                <w:sz w:val="22"/>
                <w:szCs w:val="22"/>
              </w:rPr>
            </w:r>
          </w:p>
        </w:tc>
      </w:tr>
    </w:tbl>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2"/>
        <w:numPr>
          <w:ilvl w:val="0"/>
          <w:numId w:val="34"/>
        </w:numPr>
        <w:pBdr/>
        <w:spacing/>
        <w:ind/>
        <w:jc w:val="both"/>
        <w:rPr>
          <w:rFonts w:ascii="Times New Roman" w:hAnsi="Times New Roman"/>
          <w:b/>
          <w:sz w:val="22"/>
          <w:szCs w:val="22"/>
        </w:rPr>
      </w:pPr>
      <w:r>
        <w:rPr>
          <w:rFonts w:ascii="Times New Roman" w:hAnsi="Times New Roman"/>
          <w:b/>
          <w:sz w:val="22"/>
          <w:szCs w:val="22"/>
        </w:rPr>
        <w:t xml:space="preserve">Технические и административные требования к объекту закупки.</w:t>
      </w:r>
      <w:r>
        <w:rPr>
          <w:rFonts w:ascii="Times New Roman" w:hAnsi="Times New Roman"/>
          <w:b/>
          <w:sz w:val="22"/>
          <w:szCs w:val="22"/>
        </w:rPr>
      </w:r>
      <w:r>
        <w:rPr>
          <w:rFonts w:ascii="Times New Roman" w:hAnsi="Times New Roman"/>
          <w:b/>
          <w:sz w:val="22"/>
          <w:szCs w:val="22"/>
        </w:rPr>
      </w:r>
    </w:p>
    <w:p>
      <w:pPr>
        <w:pStyle w:val="972"/>
        <w:pBdr/>
        <w:spacing/>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sz w:val="22"/>
          <w:szCs w:val="22"/>
        </w:rPr>
        <w:t xml:space="preserve">Бухгалтерский учет и расчет заработной платы по всем участкам, описанным в пункте 1 данного ТЗ, должен вестись в одной/единой информационной базе.</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sz w:val="22"/>
          <w:szCs w:val="22"/>
        </w:rPr>
        <w:t xml:space="preserve">Исполнителем должн</w:t>
      </w:r>
      <w:r>
        <w:rPr>
          <w:rFonts w:ascii="Times New Roman" w:hAnsi="Times New Roman"/>
          <w:sz w:val="22"/>
          <w:szCs w:val="22"/>
        </w:rPr>
        <w:t xml:space="preserve">ы быть предусмотрены инструменты для полного обмена/переноса данных из имеющейся (действующей) информационной системы учета государственного заказчика в новую информационную систему учета, являющуюся объектом закупки, с сохранением всех необходимых данных.</w:t>
      </w:r>
      <w:r>
        <w:rPr>
          <w:rFonts w:ascii="Times New Roman" w:hAnsi="Times New Roman"/>
          <w:sz w:val="22"/>
          <w:szCs w:val="22"/>
        </w:rPr>
      </w:r>
      <w:r>
        <w:rPr>
          <w:rFonts w:ascii="Times New Roman" w:hAnsi="Times New Roman"/>
          <w:sz w:val="22"/>
          <w:szCs w:val="22"/>
        </w:rPr>
      </w:r>
    </w:p>
    <w:p>
      <w:pPr>
        <w:pStyle w:val="972"/>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numPr>
          <w:ilvl w:val="0"/>
          <w:numId w:val="34"/>
        </w:numPr>
        <w:pBdr/>
        <w:spacing/>
        <w:ind/>
        <w:jc w:val="both"/>
        <w:rPr>
          <w:rFonts w:ascii="Times New Roman" w:hAnsi="Times New Roman"/>
          <w:b/>
          <w:sz w:val="22"/>
          <w:szCs w:val="22"/>
        </w:rPr>
      </w:pPr>
      <w:r>
        <w:rPr>
          <w:rFonts w:ascii="Times New Roman" w:hAnsi="Times New Roman"/>
          <w:b/>
          <w:sz w:val="22"/>
          <w:szCs w:val="22"/>
        </w:rPr>
        <w:t xml:space="preserve">Назначение объекта закупки. </w:t>
      </w:r>
      <w:r>
        <w:rPr>
          <w:rFonts w:ascii="Times New Roman" w:hAnsi="Times New Roman"/>
          <w:b/>
          <w:sz w:val="22"/>
          <w:szCs w:val="22"/>
        </w:rPr>
      </w:r>
      <w:r>
        <w:rPr>
          <w:rFonts w:ascii="Times New Roman" w:hAnsi="Times New Roman"/>
          <w:b/>
          <w:sz w:val="22"/>
          <w:szCs w:val="22"/>
        </w:rPr>
      </w:r>
    </w:p>
    <w:p>
      <w:pPr>
        <w:pStyle w:val="972"/>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Снижение трудоемкости учета и исключение счетных ошибок.</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Повышение качества учета и отчетности.</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отслеживание текущих изменений в методологии учета;</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Стремление к прозрачности учета.</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Оперативное получение достоверной бухгалтерской информации за любой период времени.</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Оперативно получение информации в разрезе источников финансового обеспечения деятельности, целевых программ (подпрограмм);</w:t>
      </w:r>
      <w:r>
        <w:rPr>
          <w:rFonts w:ascii="Times New Roman" w:hAnsi="Times New Roman"/>
          <w:sz w:val="22"/>
          <w:szCs w:val="22"/>
        </w:rPr>
      </w:r>
      <w:r>
        <w:rPr>
          <w:rFonts w:ascii="Times New Roman" w:hAnsi="Times New Roman"/>
          <w:sz w:val="22"/>
          <w:szCs w:val="22"/>
        </w:rPr>
      </w:r>
    </w:p>
    <w:p>
      <w:pPr>
        <w:pStyle w:val="972"/>
        <w:numPr>
          <w:ilvl w:val="1"/>
          <w:numId w:val="34"/>
        </w:numPr>
        <w:pBdr/>
        <w:spacing/>
        <w:ind/>
        <w:jc w:val="both"/>
        <w:rPr>
          <w:rFonts w:ascii="Times New Roman" w:hAnsi="Times New Roman"/>
          <w:sz w:val="22"/>
          <w:szCs w:val="22"/>
        </w:rPr>
      </w:pPr>
      <w:r>
        <w:rPr>
          <w:rFonts w:ascii="Times New Roman" w:hAnsi="Times New Roman"/>
          <w:color w:val="000000"/>
          <w:sz w:val="22"/>
          <w:szCs w:val="22"/>
          <w:shd w:val="clear" w:color="auto" w:fill="ffffff"/>
        </w:rPr>
        <w:t xml:space="preserve">Оперативный контроль:</w:t>
      </w:r>
      <w:r>
        <w:rPr>
          <w:rFonts w:ascii="Times New Roman" w:hAnsi="Times New Roman"/>
          <w:sz w:val="22"/>
          <w:szCs w:val="22"/>
        </w:rPr>
      </w:r>
      <w:r>
        <w:rPr>
          <w:rFonts w:ascii="Times New Roman" w:hAnsi="Times New Roman"/>
          <w:sz w:val="22"/>
          <w:szCs w:val="22"/>
        </w:rPr>
      </w:r>
    </w:p>
    <w:p>
      <w:pPr>
        <w:pStyle w:val="972"/>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наличие денежных средств и материальных ценностей;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состояние расчетов с юридическими и физическими лицами;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дебиторскую и кредиторскую задолженность;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соблюдение финансовой дисциплины;</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0"/>
          <w:numId w:val="33"/>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исполнение смет и планов финансово-хозяйственной деятельности;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Формирование достоверной бухгалтерской отчетности в короткие сроки.</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numPr>
          <w:ilvl w:val="1"/>
          <w:numId w:val="34"/>
        </w:numPr>
        <w:pBdr/>
        <w:spacing/>
        <w:ind/>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Эффективное управление расходами и не допущение принятия обязательств свыше установленных лимитов, сметных, плановых назначений.</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2"/>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pBdr/>
        <w:spacing/>
        <w:ind/>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numPr>
          <w:ilvl w:val="0"/>
          <w:numId w:val="34"/>
        </w:numPr>
        <w:pBdr/>
        <w:spacing/>
        <w:ind/>
        <w:jc w:val="both"/>
        <w:rPr>
          <w:rFonts w:ascii="Times New Roman" w:hAnsi="Times New Roman" w:eastAsia="Times New Roman"/>
          <w:b/>
          <w:sz w:val="22"/>
          <w:szCs w:val="22"/>
        </w:rPr>
      </w:pPr>
      <w:r>
        <w:rPr>
          <w:rFonts w:ascii="Times New Roman" w:hAnsi="Times New Roman" w:eastAsia="Times New Roman"/>
          <w:b/>
          <w:sz w:val="22"/>
          <w:szCs w:val="22"/>
        </w:rPr>
        <w:t xml:space="preserve">Требования к ведению учета в объекте закупки.</w:t>
      </w:r>
      <w:r>
        <w:rPr>
          <w:rFonts w:ascii="Times New Roman" w:hAnsi="Times New Roman" w:eastAsia="Times New Roman"/>
          <w:b/>
          <w:sz w:val="22"/>
          <w:szCs w:val="22"/>
        </w:rPr>
      </w:r>
      <w:r>
        <w:rPr>
          <w:rFonts w:ascii="Times New Roman" w:hAnsi="Times New Roman" w:eastAsia="Times New Roman"/>
          <w:b/>
          <w:sz w:val="22"/>
          <w:szCs w:val="22"/>
        </w:rPr>
      </w:r>
    </w:p>
    <w:p>
      <w:pPr>
        <w:pStyle w:val="972"/>
        <w:pBdr/>
        <w:spacing/>
        <w:ind/>
        <w:jc w:val="both"/>
        <w:rPr>
          <w:rFonts w:ascii="Times New Roman" w:hAnsi="Times New Roman" w:eastAsia="Times New Roman"/>
          <w:b/>
          <w:sz w:val="22"/>
          <w:szCs w:val="22"/>
        </w:rPr>
      </w:pPr>
      <w:r>
        <w:rPr>
          <w:rFonts w:ascii="Times New Roman" w:hAnsi="Times New Roman" w:eastAsia="Times New Roman"/>
          <w:b/>
          <w:sz w:val="22"/>
          <w:szCs w:val="22"/>
        </w:rPr>
      </w:r>
      <w:r>
        <w:rPr>
          <w:rFonts w:ascii="Times New Roman" w:hAnsi="Times New Roman" w:eastAsia="Times New Roman"/>
          <w:b/>
          <w:sz w:val="22"/>
          <w:szCs w:val="22"/>
        </w:rPr>
      </w:r>
      <w:r>
        <w:rPr>
          <w:rFonts w:ascii="Times New Roman" w:hAnsi="Times New Roman" w:eastAsia="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предна</w:t>
      </w:r>
      <w:r>
        <w:rPr>
          <w:rFonts w:ascii="Times New Roman" w:hAnsi="Times New Roman"/>
          <w:sz w:val="22"/>
          <w:szCs w:val="22"/>
        </w:rPr>
        <w:t xml:space="preserve">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 ведение учета как одного учреждения, так и группы учреж</w:t>
      </w:r>
      <w:r>
        <w:rPr>
          <w:rFonts w:ascii="Times New Roman" w:hAnsi="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b/>
          <w:sz w:val="22"/>
          <w:szCs w:val="22"/>
        </w:rPr>
      </w:pPr>
      <w:r>
        <w:rPr>
          <w:rFonts w:ascii="Times New Roman" w:hAnsi="Times New Roman" w:eastAsia="Times New Roman"/>
          <w:sz w:val="22"/>
          <w:szCs w:val="22"/>
        </w:rPr>
        <w:t xml:space="preserve">Ведение учета казенных, бюджетных и автономных учреждений.</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431" w:left="788"/>
        <w:jc w:val="both"/>
        <w:rPr>
          <w:rFonts w:ascii="Times New Roman" w:hAnsi="Times New Roman"/>
          <w:b/>
          <w:sz w:val="22"/>
          <w:szCs w:val="22"/>
        </w:rPr>
      </w:pPr>
      <w:r>
        <w:rPr>
          <w:rFonts w:ascii="Times New Roman" w:hAnsi="Times New Roman" w:eastAsia="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Ведение обособленного учета по источникам финансового обеспечения.</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Обособленный учет операций по переданным полномочиям.</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hanging="636" w:left="993"/>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b/>
          <w:sz w:val="22"/>
          <w:szCs w:val="22"/>
        </w:rPr>
      </w:r>
      <w:r>
        <w:rPr>
          <w:rFonts w:ascii="Times New Roman" w:hAnsi="Times New Roman"/>
          <w:b/>
          <w:sz w:val="22"/>
          <w:szCs w:val="22"/>
        </w:rPr>
      </w:r>
    </w:p>
    <w:p>
      <w:pPr>
        <w:pBdr/>
        <w:spacing w:after="113"/>
        <w:ind w:firstLine="540"/>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2"/>
        <w:numPr>
          <w:ilvl w:val="0"/>
          <w:numId w:val="34"/>
        </w:numPr>
        <w:pBdr/>
        <w:spacing w:after="113"/>
        <w:ind/>
        <w:jc w:val="both"/>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72"/>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2"/>
        <w:pBdr/>
        <w:spacing w:after="113"/>
        <w:ind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72"/>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72"/>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72"/>
        <w:numPr>
          <w:ilvl w:val="0"/>
          <w:numId w:val="35"/>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Версия 3.5».</w:t>
      </w:r>
      <w:r>
        <w:rPr>
          <w:rFonts w:ascii="Times New Roman" w:hAnsi="Times New Roman"/>
          <w:b/>
          <w:sz w:val="22"/>
          <w:szCs w:val="22"/>
        </w:rPr>
      </w:r>
      <w:r>
        <w:rPr>
          <w:rFonts w:ascii="Times New Roman" w:hAnsi="Times New Roman"/>
          <w:b/>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доступ</w:t>
      </w:r>
      <w:r>
        <w:rPr>
          <w:rFonts w:ascii="Times New Roman" w:hAnsi="Times New Roman"/>
          <w:sz w:val="22"/>
          <w:szCs w:val="22"/>
        </w:rPr>
        <w:t xml:space="preserve"> </w:t>
      </w:r>
      <w:r>
        <w:rPr>
          <w:rFonts w:ascii="Times New Roman" w:hAnsi="Times New Roman" w:eastAsia="Calibri"/>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учреждений ФСИН».</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Отсутствие в реестре недобросовестных поставщиков.</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 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pBdr/>
        <w:spacing/>
        <w:ind w:left="1512"/>
        <w:jc w:val="both"/>
        <w:rPr>
          <w:rFonts w:ascii="Times New Roman" w:hAnsi="Times New Roman" w:eastAsia="Calibri"/>
          <w:color w:val="000000"/>
          <w:sz w:val="22"/>
          <w:szCs w:val="22"/>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Доступ к базе могут иметь только сотрудники, состоящие в штате.</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sz w:val="22"/>
          <w:szCs w:val="22"/>
        </w:rPr>
        <w:t xml:space="preserve">Срок оказания услуг: После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2"/>
        <w:numPr>
          <w:ilvl w:val="1"/>
          <w:numId w:val="34"/>
        </w:numPr>
        <w:pBdr/>
        <w:spacing/>
        <w:ind/>
        <w:jc w:val="both"/>
        <w:rPr>
          <w:rFonts w:ascii="Times New Roman" w:hAnsi="Times New Roman" w:eastAsia="Calibri"/>
          <w:color w:val="000000"/>
          <w:sz w:val="22"/>
          <w:szCs w:val="22"/>
        </w:rPr>
      </w:pPr>
      <w:r>
        <w:rPr>
          <w:rFonts w:ascii="Times New Roman" w:hAnsi="Times New Roman"/>
          <w:bCs/>
          <w:color w:val="000000"/>
          <w:sz w:val="22"/>
          <w:szCs w:val="22"/>
        </w:rPr>
        <w:t xml:space="preserve">Количество программных продуктов: 1 шт.</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Ind w:w="108" w:type="dxa"/>
        <w:tblW w:w="9345" w:type="dxa"/>
        <w:tblBorders/>
        <w:tblLayout w:type="fixed"/>
        <w:tblLook w:val="04A0" w:firstRow="1" w:lastRow="0" w:firstColumn="1" w:lastColumn="0" w:noHBand="0" w:noVBand="1"/>
        <w:tblStyle w:val="974"/>
      </w:tblPr>
      <w:tblGrid>
        <w:gridCol w:w="986"/>
        <w:gridCol w:w="2128"/>
        <w:gridCol w:w="1138"/>
        <w:gridCol w:w="420"/>
        <w:gridCol w:w="992"/>
        <w:gridCol w:w="1344"/>
        <w:gridCol w:w="780"/>
        <w:gridCol w:w="1557"/>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4"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1"/>
        <w:pBdr/>
        <w:spacing/>
        <w:ind/>
        <w:jc w:val="both"/>
        <w:rPr>
          <w:sz w:val="22"/>
          <w:szCs w:val="22"/>
        </w:rPr>
      </w:pPr>
      <w:r>
        <w:rPr>
          <w:sz w:val="22"/>
          <w:szCs w:val="22"/>
        </w:rPr>
      </w:r>
      <w:r>
        <w:rPr>
          <w:sz w:val="22"/>
          <w:szCs w:val="22"/>
        </w:rPr>
      </w:r>
      <w:r>
        <w:rPr>
          <w:sz w:val="22"/>
          <w:szCs w:val="22"/>
        </w:rPr>
      </w:r>
    </w:p>
    <w:p>
      <w:pPr>
        <w:pStyle w:val="971"/>
        <w:pBdr/>
        <w:spacing/>
        <w:ind/>
        <w:jc w:val="both"/>
        <w:rPr>
          <w:sz w:val="22"/>
          <w:szCs w:val="22"/>
        </w:rPr>
      </w:pPr>
      <w:r>
        <w:rPr>
          <w:sz w:val="22"/>
          <w:szCs w:val="22"/>
        </w:rPr>
      </w:r>
      <w:r>
        <w:rPr>
          <w:sz w:val="22"/>
          <w:szCs w:val="22"/>
        </w:rPr>
      </w:r>
      <w:r>
        <w:rPr>
          <w:sz w:val="22"/>
          <w:szCs w:val="22"/>
        </w:rPr>
      </w:r>
    </w:p>
    <w:p>
      <w:pPr>
        <w:pStyle w:val="971"/>
        <w:pBdr/>
        <w:spacing/>
        <w:ind/>
        <w:jc w:val="both"/>
        <w:rPr>
          <w:sz w:val="22"/>
          <w:szCs w:val="22"/>
        </w:rPr>
      </w:pPr>
      <w:r>
        <w:rPr>
          <w:sz w:val="22"/>
          <w:szCs w:val="22"/>
        </w:rPr>
      </w:r>
      <w:r>
        <w:rPr>
          <w:sz w:val="22"/>
          <w:szCs w:val="22"/>
        </w:rPr>
      </w:r>
      <w:r>
        <w:rPr>
          <w:sz w:val="22"/>
          <w:szCs w:val="22"/>
        </w:rPr>
      </w:r>
    </w:p>
    <w:p>
      <w:pPr>
        <w:pStyle w:val="970"/>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№2</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0"/>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1"/>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1"/>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1"/>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74"/>
      </w:tblPr>
      <w:tblGrid>
        <w:gridCol w:w="567"/>
        <w:gridCol w:w="2976"/>
        <w:gridCol w:w="1276"/>
        <w:gridCol w:w="1417"/>
        <w:gridCol w:w="1842"/>
        <w:gridCol w:w="1276"/>
      </w:tblGrid>
      <w:tr>
        <w:trPr/>
        <w:tc>
          <w:tcPr>
            <w:tcBorders/>
            <w:tcW w:w="567"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842"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43"/>
        </w:trPr>
        <w:tc>
          <w:tcPr>
            <w:tcBorders/>
            <w:tcW w:w="567" w:type="dxa"/>
            <w:textDirection w:val="lrTb"/>
            <w:noWrap w:val="false"/>
          </w:tcPr>
          <w:p>
            <w:pPr>
              <w:pStyle w:val="971"/>
              <w:pBdr/>
              <w:tabs>
                <w:tab w:val="left" w:leader="none" w:pos="6956"/>
              </w:tabs>
              <w:spacing/>
              <w:ind/>
              <w:jc w:val="center"/>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t xml:space="preserve">1</w:t>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tc>
        <w:tc>
          <w:tcPr>
            <w:tcBorders/>
            <w:tcW w:w="2976" w:type="dxa"/>
            <w:textDirection w:val="lrTb"/>
            <w:noWrap w:val="false"/>
          </w:tcPr>
          <w:p>
            <w:pPr>
              <w:pStyle w:val="975"/>
              <w:pBdr/>
              <w:spacing/>
              <w:ind/>
              <w:rPr>
                <w:b w:val="0"/>
                <w:bCs w:val="0"/>
                <w:sz w:val="22"/>
                <w:szCs w:val="22"/>
                <w:highlight w:val="yellow"/>
              </w:rPr>
            </w:pPr>
            <w:r>
              <w:rPr>
                <w:rFonts w:ascii="Times New Roman" w:hAnsi="Times New Roman" w:cs="Times New Roman"/>
                <w:b w:val="0"/>
                <w:bCs w:val="0"/>
                <w:sz w:val="22"/>
                <w:szCs w:val="22"/>
              </w:rPr>
            </w:r>
            <w:r>
              <w:rPr>
                <w:rFonts w:ascii="Times New Roman" w:hAnsi="Times New Roman" w:cs="Times New Roman"/>
                <w:b w:val="0"/>
                <w:bCs w:val="0"/>
                <w:sz w:val="22"/>
                <w:szCs w:val="22"/>
                <w:highlight w:val="yellow"/>
              </w:rPr>
              <w:t xml:space="preserve">Предоставление неисключительных (ограниченных) лицензионных прав использования программного продукта «Конфигурация для учреждений ФСИН для 1С:Предприятие 8»</w:t>
            </w:r>
            <w:r>
              <w:rPr>
                <w:rFonts w:ascii="Times New Roman" w:hAnsi="Times New Roman" w:cs="Times New Roman"/>
                <w:b w:val="0"/>
                <w:bCs w:val="0"/>
                <w:sz w:val="22"/>
                <w:szCs w:val="22"/>
                <w:highlight w:val="yellow"/>
              </w:rPr>
              <w:t xml:space="preserve">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w:t>
            </w:r>
            <w:r>
              <w:rPr>
                <w:b w:val="0"/>
                <w:bCs w:val="0"/>
                <w:sz w:val="22"/>
                <w:szCs w:val="22"/>
                <w:highlight w:val="yellow"/>
              </w:rPr>
            </w:r>
            <w:r>
              <w:rPr>
                <w:b w:val="0"/>
                <w:bCs w:val="0"/>
                <w:sz w:val="22"/>
                <w:szCs w:val="22"/>
                <w:highlight w:val="yellow"/>
              </w:rPr>
            </w:r>
          </w:p>
          <w:p>
            <w:pPr>
              <w:pStyle w:val="971"/>
              <w:pBdr/>
              <w:tabs>
                <w:tab w:val="left" w:leader="none" w:pos="6956"/>
              </w:tabs>
              <w:spacing/>
              <w:ind/>
              <w:jc w:val="center"/>
              <w:rPr>
                <w:rFonts w:ascii="Times New Roman" w:hAnsi="Times New Roman" w:cs="Times New Roman"/>
                <w:b w:val="0"/>
                <w:bCs w:val="0"/>
                <w:sz w:val="22"/>
                <w:szCs w:val="22"/>
                <w:highlight w:val="none"/>
              </w:rPr>
            </w:pPr>
            <w:r>
              <w:rPr>
                <w:rFonts w:ascii="Times New Roman" w:hAnsi="Times New Roman" w:eastAsia="Times New Roman" w:cs="Times New Roman"/>
                <w:b w:val="0"/>
                <w:bCs w:val="0"/>
                <w:sz w:val="22"/>
                <w:szCs w:val="22"/>
                <w:highlight w:val="none"/>
              </w:rPr>
            </w:r>
            <w:r>
              <w:rPr>
                <w:rFonts w:ascii="Times New Roman" w:hAnsi="Times New Roman" w:cs="Times New Roman"/>
                <w:b w:val="0"/>
                <w:bCs w:val="0"/>
                <w:sz w:val="22"/>
                <w:szCs w:val="22"/>
                <w:highlight w:val="none"/>
              </w:rPr>
            </w:r>
            <w:r>
              <w:rPr>
                <w:rFonts w:ascii="Times New Roman" w:hAnsi="Times New Roman" w:cs="Times New Roman"/>
                <w:b w:val="0"/>
                <w:bCs w:val="0"/>
                <w:sz w:val="22"/>
                <w:szCs w:val="22"/>
                <w:highlight w:val="none"/>
              </w:rPr>
            </w:r>
          </w:p>
        </w:tc>
        <w:tc>
          <w:tcPr>
            <w:tcBorders/>
            <w:tcW w:w="1276"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842" w:type="dxa"/>
            <w:textDirection w:val="lrTb"/>
            <w:noWrap w:val="false"/>
          </w:tcPr>
          <w:p>
            <w:pPr>
              <w:pStyle w:val="971"/>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________  </w:t>
            </w:r>
            <w:r>
              <w:rPr>
                <w:rFonts w:ascii="Times New Roman" w:hAnsi="Times New Roman" w:cs="Times New Roman"/>
                <w:sz w:val="22"/>
                <w:szCs w:val="22"/>
                <w:highlight w:val="none"/>
              </w:rPr>
            </w:r>
          </w:p>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tc>
        <w:tc>
          <w:tcPr>
            <w:tcBorders/>
            <w:tcW w:w="1276" w:type="dxa"/>
            <w:textDirection w:val="lrTb"/>
            <w:noWrap w:val="false"/>
          </w:tcPr>
          <w:p>
            <w:pPr>
              <w:pStyle w:val="971"/>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1"/>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1"/>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1"/>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1"/>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1983"/>
        </w:trPr>
        <w:tc>
          <w:tcPr>
            <w:tcBorders/>
            <w:tcW w:w="4928" w:type="dxa"/>
            <w:textDirection w:val="lrTb"/>
            <w:noWrap w:val="false"/>
          </w:tcPr>
          <w:p>
            <w:pPr>
              <w:pStyle w:val="976"/>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76"/>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76"/>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1"/>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1"/>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Verdana">
    <w:panose1 w:val="020B060403050404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2">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25">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2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7">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num w:numId="1">
    <w:abstractNumId w:val="8"/>
  </w:num>
  <w:num w:numId="2">
    <w:abstractNumId w:val="0"/>
  </w:num>
  <w:num w:numId="3">
    <w:abstractNumId w:val="14"/>
  </w:num>
  <w:num w:numId="4">
    <w:abstractNumId w:val="26"/>
  </w:num>
  <w:num w:numId="5">
    <w:abstractNumId w:val="1"/>
  </w:num>
  <w:num w:numId="6">
    <w:abstractNumId w:val="23"/>
  </w:num>
  <w:num w:numId="7">
    <w:abstractNumId w:val="13"/>
  </w:num>
  <w:num w:numId="8">
    <w:abstractNumId w:val="18"/>
  </w:num>
  <w:num w:numId="9">
    <w:abstractNumId w:val="4"/>
  </w:num>
  <w:num w:numId="10">
    <w:abstractNumId w:val="5"/>
  </w:num>
  <w:num w:numId="11">
    <w:abstractNumId w:val="2"/>
  </w:num>
  <w:num w:numId="12">
    <w:abstractNumId w:val="33"/>
  </w:num>
  <w:num w:numId="13">
    <w:abstractNumId w:val="3"/>
  </w:num>
  <w:num w:numId="14">
    <w:abstractNumId w:val="22"/>
  </w:num>
  <w:num w:numId="15">
    <w:abstractNumId w:val="6"/>
  </w:num>
  <w:num w:numId="16">
    <w:abstractNumId w:val="7"/>
  </w:num>
  <w:num w:numId="17">
    <w:abstractNumId w:val="15"/>
  </w:num>
  <w:num w:numId="18">
    <w:abstractNumId w:val="35"/>
  </w:num>
  <w:num w:numId="19">
    <w:abstractNumId w:val="10"/>
  </w:num>
  <w:num w:numId="20">
    <w:abstractNumId w:val="31"/>
  </w:num>
  <w:num w:numId="21">
    <w:abstractNumId w:val="20"/>
  </w:num>
  <w:num w:numId="22">
    <w:abstractNumId w:val="27"/>
  </w:num>
  <w:num w:numId="23">
    <w:abstractNumId w:val="17"/>
  </w:num>
  <w:num w:numId="24">
    <w:abstractNumId w:val="29"/>
  </w:num>
  <w:num w:numId="25">
    <w:abstractNumId w:val="16"/>
  </w:num>
  <w:num w:numId="26">
    <w:abstractNumId w:val="9"/>
  </w:num>
  <w:num w:numId="27">
    <w:abstractNumId w:val="28"/>
  </w:num>
  <w:num w:numId="28">
    <w:abstractNumId w:val="32"/>
  </w:num>
  <w:num w:numId="29">
    <w:abstractNumId w:val="11"/>
  </w:num>
  <w:num w:numId="30">
    <w:abstractNumId w:val="19"/>
  </w:num>
  <w:num w:numId="31">
    <w:abstractNumId w:val="21"/>
  </w:num>
  <w:num w:numId="32">
    <w:abstractNumId w:val="34"/>
  </w:num>
  <w:num w:numId="33">
    <w:abstractNumId w:val="24"/>
  </w:num>
  <w:num w:numId="34">
    <w:abstractNumId w:val="12"/>
  </w:num>
  <w:num w:numId="35">
    <w:abstractNumId w:val="3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4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3">
    <w:name w:val="Table Grid Light"/>
    <w:basedOn w:val="95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Plain Table 1"/>
    <w:basedOn w:val="95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Plain Table 2"/>
    <w:basedOn w:val="95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Plain Table 3"/>
    <w:basedOn w:val="9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Plain Table 4"/>
    <w:basedOn w:val="9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5"/>
    <w:basedOn w:val="9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1 Light"/>
    <w:basedOn w:val="95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1 Light - Accent 1"/>
    <w:basedOn w:val="9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1 Light - Accent 2"/>
    <w:basedOn w:val="9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1 Light - Accent 3"/>
    <w:basedOn w:val="9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 Accent 4"/>
    <w:basedOn w:val="9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5"/>
    <w:basedOn w:val="9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6"/>
    <w:basedOn w:val="9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2"/>
    <w:basedOn w:val="9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2 - Accent 1"/>
    <w:basedOn w:val="9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 Accent 2"/>
    <w:basedOn w:val="9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2 - Accent 3"/>
    <w:basedOn w:val="9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 Accent 4"/>
    <w:basedOn w:val="9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5"/>
    <w:basedOn w:val="9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6"/>
    <w:basedOn w:val="9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3"/>
    <w:basedOn w:val="9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3 - Accent 1"/>
    <w:basedOn w:val="9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3 - Accent 2"/>
    <w:basedOn w:val="9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3 - Accent 3"/>
    <w:basedOn w:val="9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 Accent 4"/>
    <w:basedOn w:val="9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5"/>
    <w:basedOn w:val="9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6"/>
    <w:basedOn w:val="9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4"/>
    <w:basedOn w:val="95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4 - Accent 1"/>
    <w:basedOn w:val="95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4 - Accent 2"/>
    <w:basedOn w:val="95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4 - Accent 3"/>
    <w:basedOn w:val="95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 Accent 4"/>
    <w:basedOn w:val="95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5"/>
    <w:basedOn w:val="95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6"/>
    <w:basedOn w:val="95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5 Dark"/>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5 Dark- Accent 1"/>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5 Dark - Accent 2"/>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5 Dark - Accent 3"/>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Accent 4"/>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 Accent 5"/>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 Accent 6"/>
    <w:basedOn w:val="9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6 Colorful"/>
    <w:basedOn w:val="95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5">
    <w:name w:val="Grid Table 6 Colorful - Accent 1"/>
    <w:basedOn w:val="95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16">
    <w:name w:val="Grid Table 6 Colorful - Accent 2"/>
    <w:basedOn w:val="9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17">
    <w:name w:val="Grid Table 6 Colorful - Accent 3"/>
    <w:basedOn w:val="95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18">
    <w:name w:val="Grid Table 6 Colorful - Accent 4"/>
    <w:basedOn w:val="9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19">
    <w:name w:val="Grid Table 6 Colorful - Accent 5"/>
    <w:basedOn w:val="95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0">
    <w:name w:val="Grid Table 6 Colorful - Accent 6"/>
    <w:basedOn w:val="95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1">
    <w:name w:val="Grid Table 7 Colorful"/>
    <w:basedOn w:val="95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7 Colorful - Accent 1"/>
    <w:basedOn w:val="95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7 Colorful - Accent 2"/>
    <w:basedOn w:val="95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7 Colorful - Accent 3"/>
    <w:basedOn w:val="95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7 Colorful - Accent 4"/>
    <w:basedOn w:val="95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5"/>
    <w:basedOn w:val="95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6"/>
    <w:basedOn w:val="95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1 Light"/>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1 Light - Accent 1"/>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1 Light - Accent 2"/>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1 Light - Accent 3"/>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 Accent 4"/>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5"/>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6"/>
    <w:basedOn w:val="9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2"/>
    <w:basedOn w:val="95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2 - Accent 1"/>
    <w:basedOn w:val="95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2 - Accent 2"/>
    <w:basedOn w:val="95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2 - Accent 3"/>
    <w:basedOn w:val="95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 Accent 4"/>
    <w:basedOn w:val="95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5"/>
    <w:basedOn w:val="95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6"/>
    <w:basedOn w:val="95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3"/>
    <w:basedOn w:val="9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3 - Accent 1"/>
    <w:basedOn w:val="95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3 - Accent 2"/>
    <w:basedOn w:val="9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3 - Accent 3"/>
    <w:basedOn w:val="95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 Accent 4"/>
    <w:basedOn w:val="9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5"/>
    <w:basedOn w:val="95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6"/>
    <w:basedOn w:val="95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4"/>
    <w:basedOn w:val="9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4 - Accent 1"/>
    <w:basedOn w:val="95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4 - Accent 2"/>
    <w:basedOn w:val="95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4 - Accent 3"/>
    <w:basedOn w:val="95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 Accent 4"/>
    <w:basedOn w:val="95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5"/>
    <w:basedOn w:val="95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6"/>
    <w:basedOn w:val="95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5 Dark"/>
    <w:basedOn w:val="95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7">
    <w:name w:val="List Table 5 Dark - Accent 1"/>
    <w:basedOn w:val="95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8">
    <w:name w:val="List Table 5 Dark - Accent 2"/>
    <w:basedOn w:val="95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9">
    <w:name w:val="List Table 5 Dark - Accent 3"/>
    <w:basedOn w:val="95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0">
    <w:name w:val="List Table 5 Dark - Accent 4"/>
    <w:basedOn w:val="95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5"/>
    <w:basedOn w:val="95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6"/>
    <w:basedOn w:val="95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6 Colorful"/>
    <w:basedOn w:val="95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6 Colorful - Accent 1"/>
    <w:basedOn w:val="95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6 Colorful - Accent 2"/>
    <w:basedOn w:val="95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6 Colorful - Accent 3"/>
    <w:basedOn w:val="95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6 Colorful - Accent 4"/>
    <w:basedOn w:val="95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5"/>
    <w:basedOn w:val="95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6"/>
    <w:basedOn w:val="95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7 Colorful"/>
    <w:basedOn w:val="95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1">
    <w:name w:val="List Table 7 Colorful - Accent 1"/>
    <w:basedOn w:val="95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2">
    <w:name w:val="List Table 7 Colorful - Accent 2"/>
    <w:basedOn w:val="95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3">
    <w:name w:val="List Table 7 Colorful - Accent 3"/>
    <w:basedOn w:val="95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4">
    <w:name w:val="List Table 7 Colorful - Accent 4"/>
    <w:basedOn w:val="95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5">
    <w:name w:val="List Table 7 Colorful - Accent 5"/>
    <w:basedOn w:val="95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76">
    <w:name w:val="List Table 7 Colorful - Accent 6"/>
    <w:basedOn w:val="95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77">
    <w:name w:val="Lined - Accent"/>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ned - Accent 1"/>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ned - Accent 2"/>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ned - Accent 3"/>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ned - Accent 4"/>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5"/>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6"/>
    <w:basedOn w:val="9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amp; Lined - Accent"/>
    <w:basedOn w:val="95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amp; Lined - Accent 1"/>
    <w:basedOn w:val="95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amp; Lined - Accent 2"/>
    <w:basedOn w:val="95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amp; Lined - Accent 3"/>
    <w:basedOn w:val="95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4"/>
    <w:basedOn w:val="95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5"/>
    <w:basedOn w:val="95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6"/>
    <w:basedOn w:val="95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w:basedOn w:val="95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 Accent 1"/>
    <w:basedOn w:val="9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 Accent 2"/>
    <w:basedOn w:val="9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 Accent 3"/>
    <w:basedOn w:val="9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 Accent 4"/>
    <w:basedOn w:val="9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5"/>
    <w:basedOn w:val="9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6"/>
    <w:basedOn w:val="9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98">
    <w:name w:val="Heading 1"/>
    <w:basedOn w:val="953"/>
    <w:next w:val="953"/>
    <w:link w:val="905"/>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99">
    <w:name w:val="Heading 2"/>
    <w:basedOn w:val="953"/>
    <w:next w:val="953"/>
    <w:link w:val="906"/>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0">
    <w:name w:val="Heading 5"/>
    <w:basedOn w:val="953"/>
    <w:next w:val="953"/>
    <w:link w:val="90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1">
    <w:name w:val="Heading 6"/>
    <w:basedOn w:val="953"/>
    <w:next w:val="953"/>
    <w:link w:val="91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2">
    <w:name w:val="Heading 7"/>
    <w:basedOn w:val="953"/>
    <w:next w:val="953"/>
    <w:link w:val="91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3">
    <w:name w:val="Heading 8"/>
    <w:basedOn w:val="953"/>
    <w:next w:val="953"/>
    <w:link w:val="91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4">
    <w:name w:val="Heading 9"/>
    <w:basedOn w:val="953"/>
    <w:next w:val="953"/>
    <w:link w:val="91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5">
    <w:name w:val="Heading 1 Char"/>
    <w:basedOn w:val="956"/>
    <w:link w:val="898"/>
    <w:uiPriority w:val="9"/>
    <w:pPr>
      <w:pBdr/>
      <w:spacing/>
      <w:ind/>
    </w:pPr>
    <w:rPr>
      <w:rFonts w:ascii="Arial" w:hAnsi="Arial" w:eastAsia="Arial" w:cs="Arial"/>
      <w:color w:val="0f4761" w:themeColor="accent1" w:themeShade="BF"/>
      <w:sz w:val="40"/>
      <w:szCs w:val="40"/>
    </w:rPr>
  </w:style>
  <w:style w:type="character" w:styleId="906">
    <w:name w:val="Heading 2 Char"/>
    <w:basedOn w:val="956"/>
    <w:link w:val="899"/>
    <w:uiPriority w:val="9"/>
    <w:pPr>
      <w:pBdr/>
      <w:spacing/>
      <w:ind/>
    </w:pPr>
    <w:rPr>
      <w:rFonts w:ascii="Arial" w:hAnsi="Arial" w:eastAsia="Arial" w:cs="Arial"/>
      <w:color w:val="0f4761" w:themeColor="accent1" w:themeShade="BF"/>
      <w:sz w:val="32"/>
      <w:szCs w:val="32"/>
    </w:rPr>
  </w:style>
  <w:style w:type="character" w:styleId="907">
    <w:name w:val="Heading 3 Char"/>
    <w:basedOn w:val="956"/>
    <w:link w:val="954"/>
    <w:uiPriority w:val="9"/>
    <w:pPr>
      <w:pBdr/>
      <w:spacing/>
      <w:ind/>
    </w:pPr>
    <w:rPr>
      <w:rFonts w:ascii="Arial" w:hAnsi="Arial" w:eastAsia="Arial" w:cs="Arial"/>
      <w:color w:val="0f4761" w:themeColor="accent1" w:themeShade="BF"/>
      <w:sz w:val="28"/>
      <w:szCs w:val="28"/>
    </w:rPr>
  </w:style>
  <w:style w:type="character" w:styleId="908">
    <w:name w:val="Heading 4 Char"/>
    <w:basedOn w:val="956"/>
    <w:link w:val="955"/>
    <w:uiPriority w:val="9"/>
    <w:pPr>
      <w:pBdr/>
      <w:spacing/>
      <w:ind/>
    </w:pPr>
    <w:rPr>
      <w:rFonts w:ascii="Arial" w:hAnsi="Arial" w:eastAsia="Arial" w:cs="Arial"/>
      <w:i/>
      <w:iCs/>
      <w:color w:val="0f4761" w:themeColor="accent1" w:themeShade="BF"/>
    </w:rPr>
  </w:style>
  <w:style w:type="character" w:styleId="909">
    <w:name w:val="Heading 5 Char"/>
    <w:basedOn w:val="956"/>
    <w:link w:val="900"/>
    <w:uiPriority w:val="9"/>
    <w:pPr>
      <w:pBdr/>
      <w:spacing/>
      <w:ind/>
    </w:pPr>
    <w:rPr>
      <w:rFonts w:ascii="Arial" w:hAnsi="Arial" w:eastAsia="Arial" w:cs="Arial"/>
      <w:color w:val="0f4761" w:themeColor="accent1" w:themeShade="BF"/>
    </w:rPr>
  </w:style>
  <w:style w:type="character" w:styleId="910">
    <w:name w:val="Heading 6 Char"/>
    <w:basedOn w:val="956"/>
    <w:link w:val="901"/>
    <w:uiPriority w:val="9"/>
    <w:pPr>
      <w:pBdr/>
      <w:spacing/>
      <w:ind/>
    </w:pPr>
    <w:rPr>
      <w:rFonts w:ascii="Arial" w:hAnsi="Arial" w:eastAsia="Arial" w:cs="Arial"/>
      <w:i/>
      <w:iCs/>
      <w:color w:val="595959" w:themeColor="text1" w:themeTint="A6"/>
    </w:rPr>
  </w:style>
  <w:style w:type="character" w:styleId="911">
    <w:name w:val="Heading 7 Char"/>
    <w:basedOn w:val="956"/>
    <w:link w:val="902"/>
    <w:uiPriority w:val="9"/>
    <w:pPr>
      <w:pBdr/>
      <w:spacing/>
      <w:ind/>
    </w:pPr>
    <w:rPr>
      <w:rFonts w:ascii="Arial" w:hAnsi="Arial" w:eastAsia="Arial" w:cs="Arial"/>
      <w:color w:val="595959" w:themeColor="text1" w:themeTint="A6"/>
    </w:rPr>
  </w:style>
  <w:style w:type="character" w:styleId="912">
    <w:name w:val="Heading 8 Char"/>
    <w:basedOn w:val="956"/>
    <w:link w:val="903"/>
    <w:uiPriority w:val="9"/>
    <w:pPr>
      <w:pBdr/>
      <w:spacing/>
      <w:ind/>
    </w:pPr>
    <w:rPr>
      <w:rFonts w:ascii="Arial" w:hAnsi="Arial" w:eastAsia="Arial" w:cs="Arial"/>
      <w:i/>
      <w:iCs/>
      <w:color w:val="272727" w:themeColor="text1" w:themeTint="D8"/>
    </w:rPr>
  </w:style>
  <w:style w:type="character" w:styleId="913">
    <w:name w:val="Heading 9 Char"/>
    <w:basedOn w:val="956"/>
    <w:link w:val="904"/>
    <w:uiPriority w:val="9"/>
    <w:pPr>
      <w:pBdr/>
      <w:spacing/>
      <w:ind/>
    </w:pPr>
    <w:rPr>
      <w:rFonts w:ascii="Arial" w:hAnsi="Arial" w:eastAsia="Arial" w:cs="Arial"/>
      <w:i/>
      <w:iCs/>
      <w:color w:val="272727" w:themeColor="text1" w:themeTint="D8"/>
    </w:rPr>
  </w:style>
  <w:style w:type="character" w:styleId="914">
    <w:name w:val="Title Char"/>
    <w:basedOn w:val="956"/>
    <w:link w:val="963"/>
    <w:uiPriority w:val="10"/>
    <w:pPr>
      <w:pBdr/>
      <w:spacing/>
      <w:ind/>
    </w:pPr>
    <w:rPr>
      <w:rFonts w:ascii="Arial" w:hAnsi="Arial" w:eastAsia="Arial" w:cs="Arial"/>
      <w:spacing w:val="-10"/>
      <w:sz w:val="56"/>
      <w:szCs w:val="56"/>
    </w:rPr>
  </w:style>
  <w:style w:type="paragraph" w:styleId="915">
    <w:name w:val="Subtitle"/>
    <w:basedOn w:val="953"/>
    <w:next w:val="953"/>
    <w:link w:val="916"/>
    <w:uiPriority w:val="11"/>
    <w:qFormat/>
    <w:pPr>
      <w:numPr>
        <w:ilvl w:val="1"/>
      </w:numPr>
      <w:pBdr/>
      <w:spacing/>
      <w:ind/>
    </w:pPr>
    <w:rPr>
      <w:color w:val="595959" w:themeColor="text1" w:themeTint="A6"/>
      <w:spacing w:val="15"/>
      <w:sz w:val="28"/>
      <w:szCs w:val="28"/>
    </w:rPr>
  </w:style>
  <w:style w:type="character" w:styleId="916">
    <w:name w:val="Subtitle Char"/>
    <w:basedOn w:val="956"/>
    <w:link w:val="915"/>
    <w:uiPriority w:val="11"/>
    <w:pPr>
      <w:pBdr/>
      <w:spacing/>
      <w:ind/>
    </w:pPr>
    <w:rPr>
      <w:color w:val="595959" w:themeColor="text1" w:themeTint="A6"/>
      <w:spacing w:val="15"/>
      <w:sz w:val="28"/>
      <w:szCs w:val="28"/>
    </w:rPr>
  </w:style>
  <w:style w:type="paragraph" w:styleId="917">
    <w:name w:val="Quote"/>
    <w:basedOn w:val="953"/>
    <w:next w:val="953"/>
    <w:link w:val="918"/>
    <w:uiPriority w:val="29"/>
    <w:qFormat/>
    <w:pPr>
      <w:pBdr/>
      <w:spacing w:before="160"/>
      <w:ind/>
      <w:jc w:val="center"/>
    </w:pPr>
    <w:rPr>
      <w:i/>
      <w:iCs/>
      <w:color w:val="404040" w:themeColor="text1" w:themeTint="BF"/>
    </w:rPr>
  </w:style>
  <w:style w:type="character" w:styleId="918">
    <w:name w:val="Quote Char"/>
    <w:basedOn w:val="956"/>
    <w:link w:val="917"/>
    <w:uiPriority w:val="29"/>
    <w:pPr>
      <w:pBdr/>
      <w:spacing/>
      <w:ind/>
    </w:pPr>
    <w:rPr>
      <w:i/>
      <w:iCs/>
      <w:color w:val="404040" w:themeColor="text1" w:themeTint="BF"/>
    </w:rPr>
  </w:style>
  <w:style w:type="character" w:styleId="919">
    <w:name w:val="Intense Emphasis"/>
    <w:basedOn w:val="956"/>
    <w:uiPriority w:val="21"/>
    <w:qFormat/>
    <w:pPr>
      <w:pBdr/>
      <w:spacing/>
      <w:ind/>
    </w:pPr>
    <w:rPr>
      <w:i/>
      <w:iCs/>
      <w:color w:val="0f4761" w:themeColor="accent1" w:themeShade="BF"/>
    </w:rPr>
  </w:style>
  <w:style w:type="paragraph" w:styleId="920">
    <w:name w:val="Intense Quote"/>
    <w:basedOn w:val="953"/>
    <w:next w:val="953"/>
    <w:link w:val="92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1">
    <w:name w:val="Intense Quote Char"/>
    <w:basedOn w:val="956"/>
    <w:link w:val="920"/>
    <w:uiPriority w:val="30"/>
    <w:pPr>
      <w:pBdr/>
      <w:spacing/>
      <w:ind/>
    </w:pPr>
    <w:rPr>
      <w:i/>
      <w:iCs/>
      <w:color w:val="0f4761" w:themeColor="accent1" w:themeShade="BF"/>
    </w:rPr>
  </w:style>
  <w:style w:type="character" w:styleId="922">
    <w:name w:val="Intense Reference"/>
    <w:basedOn w:val="956"/>
    <w:uiPriority w:val="32"/>
    <w:qFormat/>
    <w:pPr>
      <w:pBdr/>
      <w:spacing/>
      <w:ind/>
    </w:pPr>
    <w:rPr>
      <w:b/>
      <w:bCs/>
      <w:smallCaps/>
      <w:color w:val="0f4761" w:themeColor="accent1" w:themeShade="BF"/>
      <w:spacing w:val="5"/>
    </w:rPr>
  </w:style>
  <w:style w:type="paragraph" w:styleId="923">
    <w:name w:val="No Spacing"/>
    <w:basedOn w:val="953"/>
    <w:uiPriority w:val="1"/>
    <w:qFormat/>
    <w:pPr>
      <w:pBdr/>
      <w:spacing w:after="0" w:line="240" w:lineRule="auto"/>
      <w:ind/>
    </w:pPr>
  </w:style>
  <w:style w:type="character" w:styleId="924">
    <w:name w:val="Subtle Emphasis"/>
    <w:basedOn w:val="956"/>
    <w:uiPriority w:val="19"/>
    <w:qFormat/>
    <w:pPr>
      <w:pBdr/>
      <w:spacing/>
      <w:ind/>
    </w:pPr>
    <w:rPr>
      <w:i/>
      <w:iCs/>
      <w:color w:val="404040" w:themeColor="text1" w:themeTint="BF"/>
    </w:rPr>
  </w:style>
  <w:style w:type="character" w:styleId="925">
    <w:name w:val="Emphasis"/>
    <w:basedOn w:val="956"/>
    <w:uiPriority w:val="20"/>
    <w:qFormat/>
    <w:pPr>
      <w:pBdr/>
      <w:spacing/>
      <w:ind/>
    </w:pPr>
    <w:rPr>
      <w:i/>
      <w:iCs/>
    </w:rPr>
  </w:style>
  <w:style w:type="character" w:styleId="926">
    <w:name w:val="Strong"/>
    <w:basedOn w:val="956"/>
    <w:uiPriority w:val="22"/>
    <w:qFormat/>
    <w:pPr>
      <w:pBdr/>
      <w:spacing/>
      <w:ind/>
    </w:pPr>
    <w:rPr>
      <w:b/>
      <w:bCs/>
    </w:rPr>
  </w:style>
  <w:style w:type="character" w:styleId="927">
    <w:name w:val="Subtle Reference"/>
    <w:basedOn w:val="956"/>
    <w:uiPriority w:val="31"/>
    <w:qFormat/>
    <w:pPr>
      <w:pBdr/>
      <w:spacing/>
      <w:ind/>
    </w:pPr>
    <w:rPr>
      <w:smallCaps/>
      <w:color w:val="5a5a5a" w:themeColor="text1" w:themeTint="A5"/>
    </w:rPr>
  </w:style>
  <w:style w:type="character" w:styleId="928">
    <w:name w:val="Book Title"/>
    <w:basedOn w:val="956"/>
    <w:uiPriority w:val="33"/>
    <w:qFormat/>
    <w:pPr>
      <w:pBdr/>
      <w:spacing/>
      <w:ind/>
    </w:pPr>
    <w:rPr>
      <w:b/>
      <w:bCs/>
      <w:i/>
      <w:iCs/>
      <w:spacing w:val="5"/>
    </w:rPr>
  </w:style>
  <w:style w:type="paragraph" w:styleId="929">
    <w:name w:val="Header"/>
    <w:basedOn w:val="953"/>
    <w:link w:val="930"/>
    <w:uiPriority w:val="99"/>
    <w:unhideWhenUsed/>
    <w:pPr>
      <w:pBdr/>
      <w:tabs>
        <w:tab w:val="center" w:leader="none" w:pos="4844"/>
        <w:tab w:val="right" w:leader="none" w:pos="9689"/>
      </w:tabs>
      <w:spacing w:after="0" w:line="240" w:lineRule="auto"/>
      <w:ind/>
    </w:pPr>
  </w:style>
  <w:style w:type="character" w:styleId="930">
    <w:name w:val="Header Char"/>
    <w:basedOn w:val="956"/>
    <w:link w:val="929"/>
    <w:uiPriority w:val="99"/>
    <w:pPr>
      <w:pBdr/>
      <w:spacing/>
      <w:ind/>
    </w:pPr>
  </w:style>
  <w:style w:type="paragraph" w:styleId="931">
    <w:name w:val="Footer"/>
    <w:basedOn w:val="953"/>
    <w:link w:val="932"/>
    <w:uiPriority w:val="99"/>
    <w:unhideWhenUsed/>
    <w:pPr>
      <w:pBdr/>
      <w:tabs>
        <w:tab w:val="center" w:leader="none" w:pos="4844"/>
        <w:tab w:val="right" w:leader="none" w:pos="9689"/>
      </w:tabs>
      <w:spacing w:after="0" w:line="240" w:lineRule="auto"/>
      <w:ind/>
    </w:pPr>
  </w:style>
  <w:style w:type="character" w:styleId="932">
    <w:name w:val="Footer Char"/>
    <w:basedOn w:val="956"/>
    <w:link w:val="931"/>
    <w:uiPriority w:val="99"/>
    <w:pPr>
      <w:pBdr/>
      <w:spacing/>
      <w:ind/>
    </w:pPr>
  </w:style>
  <w:style w:type="paragraph" w:styleId="933">
    <w:name w:val="footnote text"/>
    <w:basedOn w:val="953"/>
    <w:link w:val="934"/>
    <w:uiPriority w:val="99"/>
    <w:semiHidden/>
    <w:unhideWhenUsed/>
    <w:pPr>
      <w:pBdr/>
      <w:spacing w:after="0" w:line="240" w:lineRule="auto"/>
      <w:ind/>
    </w:pPr>
    <w:rPr>
      <w:sz w:val="20"/>
      <w:szCs w:val="20"/>
    </w:rPr>
  </w:style>
  <w:style w:type="character" w:styleId="934">
    <w:name w:val="Footnote Text Char"/>
    <w:basedOn w:val="956"/>
    <w:link w:val="933"/>
    <w:uiPriority w:val="99"/>
    <w:semiHidden/>
    <w:pPr>
      <w:pBdr/>
      <w:spacing/>
      <w:ind/>
    </w:pPr>
    <w:rPr>
      <w:sz w:val="20"/>
      <w:szCs w:val="20"/>
    </w:rPr>
  </w:style>
  <w:style w:type="character" w:styleId="935">
    <w:name w:val="footnote reference"/>
    <w:basedOn w:val="956"/>
    <w:uiPriority w:val="99"/>
    <w:semiHidden/>
    <w:unhideWhenUsed/>
    <w:pPr>
      <w:pBdr/>
      <w:spacing/>
      <w:ind/>
    </w:pPr>
    <w:rPr>
      <w:vertAlign w:val="superscript"/>
    </w:rPr>
  </w:style>
  <w:style w:type="paragraph" w:styleId="936">
    <w:name w:val="endnote text"/>
    <w:basedOn w:val="953"/>
    <w:link w:val="937"/>
    <w:uiPriority w:val="99"/>
    <w:semiHidden/>
    <w:unhideWhenUsed/>
    <w:pPr>
      <w:pBdr/>
      <w:spacing w:after="0" w:line="240" w:lineRule="auto"/>
      <w:ind/>
    </w:pPr>
    <w:rPr>
      <w:sz w:val="20"/>
      <w:szCs w:val="20"/>
    </w:rPr>
  </w:style>
  <w:style w:type="character" w:styleId="937">
    <w:name w:val="Endnote Text Char"/>
    <w:basedOn w:val="956"/>
    <w:link w:val="936"/>
    <w:uiPriority w:val="99"/>
    <w:semiHidden/>
    <w:pPr>
      <w:pBdr/>
      <w:spacing/>
      <w:ind/>
    </w:pPr>
    <w:rPr>
      <w:sz w:val="20"/>
      <w:szCs w:val="20"/>
    </w:rPr>
  </w:style>
  <w:style w:type="character" w:styleId="938">
    <w:name w:val="endnote reference"/>
    <w:basedOn w:val="956"/>
    <w:uiPriority w:val="99"/>
    <w:semiHidden/>
    <w:unhideWhenUsed/>
    <w:pPr>
      <w:pBdr/>
      <w:spacing/>
      <w:ind/>
    </w:pPr>
    <w:rPr>
      <w:vertAlign w:val="superscript"/>
    </w:rPr>
  </w:style>
  <w:style w:type="character" w:styleId="939">
    <w:name w:val="Hyperlink"/>
    <w:basedOn w:val="956"/>
    <w:uiPriority w:val="99"/>
    <w:unhideWhenUsed/>
    <w:pPr>
      <w:pBdr/>
      <w:spacing/>
      <w:ind/>
    </w:pPr>
    <w:rPr>
      <w:color w:val="0563c1" w:themeColor="hyperlink"/>
      <w:u w:val="single"/>
    </w:rPr>
  </w:style>
  <w:style w:type="character" w:styleId="940">
    <w:name w:val="FollowedHyperlink"/>
    <w:basedOn w:val="956"/>
    <w:uiPriority w:val="99"/>
    <w:semiHidden/>
    <w:unhideWhenUsed/>
    <w:pPr>
      <w:pBdr/>
      <w:spacing/>
      <w:ind/>
    </w:pPr>
    <w:rPr>
      <w:color w:val="954f72" w:themeColor="followedHyperlink"/>
      <w:u w:val="single"/>
    </w:rPr>
  </w:style>
  <w:style w:type="paragraph" w:styleId="941">
    <w:name w:val="toc 1"/>
    <w:basedOn w:val="953"/>
    <w:next w:val="953"/>
    <w:uiPriority w:val="39"/>
    <w:unhideWhenUsed/>
    <w:pPr>
      <w:pBdr/>
      <w:spacing w:after="100"/>
      <w:ind/>
    </w:pPr>
  </w:style>
  <w:style w:type="paragraph" w:styleId="942">
    <w:name w:val="toc 2"/>
    <w:basedOn w:val="953"/>
    <w:next w:val="953"/>
    <w:uiPriority w:val="39"/>
    <w:unhideWhenUsed/>
    <w:pPr>
      <w:pBdr/>
      <w:spacing w:after="100"/>
      <w:ind w:left="220"/>
    </w:pPr>
  </w:style>
  <w:style w:type="paragraph" w:styleId="943">
    <w:name w:val="toc 3"/>
    <w:basedOn w:val="953"/>
    <w:next w:val="953"/>
    <w:uiPriority w:val="39"/>
    <w:unhideWhenUsed/>
    <w:pPr>
      <w:pBdr/>
      <w:spacing w:after="100"/>
      <w:ind w:left="440"/>
    </w:pPr>
  </w:style>
  <w:style w:type="paragraph" w:styleId="944">
    <w:name w:val="toc 4"/>
    <w:basedOn w:val="953"/>
    <w:next w:val="953"/>
    <w:uiPriority w:val="39"/>
    <w:unhideWhenUsed/>
    <w:pPr>
      <w:pBdr/>
      <w:spacing w:after="100"/>
      <w:ind w:left="660"/>
    </w:pPr>
  </w:style>
  <w:style w:type="paragraph" w:styleId="945">
    <w:name w:val="toc 5"/>
    <w:basedOn w:val="953"/>
    <w:next w:val="953"/>
    <w:uiPriority w:val="39"/>
    <w:unhideWhenUsed/>
    <w:pPr>
      <w:pBdr/>
      <w:spacing w:after="100"/>
      <w:ind w:left="880"/>
    </w:pPr>
  </w:style>
  <w:style w:type="paragraph" w:styleId="946">
    <w:name w:val="toc 6"/>
    <w:basedOn w:val="953"/>
    <w:next w:val="953"/>
    <w:uiPriority w:val="39"/>
    <w:unhideWhenUsed/>
    <w:pPr>
      <w:pBdr/>
      <w:spacing w:after="100"/>
      <w:ind w:left="1100"/>
    </w:pPr>
  </w:style>
  <w:style w:type="paragraph" w:styleId="947">
    <w:name w:val="toc 7"/>
    <w:basedOn w:val="953"/>
    <w:next w:val="953"/>
    <w:uiPriority w:val="39"/>
    <w:unhideWhenUsed/>
    <w:pPr>
      <w:pBdr/>
      <w:spacing w:after="100"/>
      <w:ind w:left="1320"/>
    </w:pPr>
  </w:style>
  <w:style w:type="paragraph" w:styleId="948">
    <w:name w:val="toc 8"/>
    <w:basedOn w:val="953"/>
    <w:next w:val="953"/>
    <w:uiPriority w:val="39"/>
    <w:unhideWhenUsed/>
    <w:pPr>
      <w:pBdr/>
      <w:spacing w:after="100"/>
      <w:ind w:left="1540"/>
    </w:pPr>
  </w:style>
  <w:style w:type="paragraph" w:styleId="949">
    <w:name w:val="toc 9"/>
    <w:basedOn w:val="953"/>
    <w:next w:val="953"/>
    <w:uiPriority w:val="39"/>
    <w:unhideWhenUsed/>
    <w:pPr>
      <w:pBdr/>
      <w:spacing w:after="100"/>
      <w:ind w:left="1760"/>
    </w:pPr>
  </w:style>
  <w:style w:type="character" w:styleId="950">
    <w:name w:val="Placeholder Text"/>
    <w:basedOn w:val="956"/>
    <w:uiPriority w:val="99"/>
    <w:semiHidden/>
    <w:pPr>
      <w:pBdr/>
      <w:spacing/>
      <w:ind/>
    </w:pPr>
    <w:rPr>
      <w:color w:val="666666"/>
    </w:rPr>
  </w:style>
  <w:style w:type="paragraph" w:styleId="951">
    <w:name w:val="TOC Heading"/>
    <w:uiPriority w:val="39"/>
    <w:unhideWhenUsed/>
    <w:pPr>
      <w:pBdr/>
      <w:spacing/>
      <w:ind/>
    </w:pPr>
  </w:style>
  <w:style w:type="paragraph" w:styleId="952">
    <w:name w:val="table of figures"/>
    <w:basedOn w:val="953"/>
    <w:next w:val="953"/>
    <w:uiPriority w:val="99"/>
    <w:unhideWhenUsed/>
    <w:pPr>
      <w:pBdr/>
      <w:spacing w:after="0" w:afterAutospacing="0"/>
      <w:ind/>
    </w:pPr>
  </w:style>
  <w:style w:type="paragraph" w:styleId="953" w:default="1">
    <w:name w:val="Normal"/>
    <w:qFormat/>
    <w:pPr>
      <w:widowControl w:val="false"/>
      <w:pBdr/>
      <w:spacing/>
      <w:ind/>
    </w:pPr>
    <w:rPr>
      <w:rFonts w:ascii="Arial" w:hAnsi="Arial" w:eastAsia="Lucida Sans Unicode" w:cs="Times New Roman"/>
      <w:sz w:val="24"/>
      <w:szCs w:val="24"/>
      <w:lang w:eastAsia="ar-SA"/>
    </w:rPr>
  </w:style>
  <w:style w:type="paragraph" w:styleId="954">
    <w:name w:val="Heading 3"/>
    <w:basedOn w:val="953"/>
    <w:next w:val="953"/>
    <w:link w:val="961"/>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55">
    <w:name w:val="Heading 4"/>
    <w:basedOn w:val="953"/>
    <w:next w:val="953"/>
    <w:link w:val="959"/>
    <w:semiHidden/>
    <w:unhideWhenUsed/>
    <w:qFormat/>
    <w:pPr>
      <w:keepNext w:val="true"/>
      <w:pBdr/>
      <w:tabs>
        <w:tab w:val="left" w:leader="none" w:pos="360"/>
      </w:tabs>
      <w:spacing w:after="60" w:before="240"/>
      <w:ind/>
      <w:outlineLvl w:val="3"/>
    </w:pPr>
    <w:rPr>
      <w:b/>
      <w:bCs/>
      <w:sz w:val="28"/>
      <w:szCs w:val="28"/>
    </w:rPr>
  </w:style>
  <w:style w:type="character" w:styleId="956" w:default="1">
    <w:name w:val="Default Paragraph Font"/>
    <w:uiPriority w:val="1"/>
    <w:semiHidden/>
    <w:unhideWhenUsed/>
    <w:pPr>
      <w:pBdr/>
      <w:spacing/>
      <w:ind/>
    </w:pPr>
  </w:style>
  <w:style w:type="table" w:styleId="95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58" w:default="1">
    <w:name w:val="No List"/>
    <w:uiPriority w:val="99"/>
    <w:semiHidden/>
    <w:unhideWhenUsed/>
    <w:pPr>
      <w:pBdr/>
      <w:spacing/>
      <w:ind/>
    </w:pPr>
  </w:style>
  <w:style w:type="character" w:styleId="959" w:customStyle="1">
    <w:name w:val="Заголовок 4 Знак"/>
    <w:basedOn w:val="956"/>
    <w:link w:val="955"/>
    <w:semiHidden/>
    <w:qFormat/>
    <w:pPr>
      <w:pBdr/>
      <w:spacing/>
      <w:ind/>
    </w:pPr>
    <w:rPr>
      <w:rFonts w:ascii="Arial" w:hAnsi="Arial" w:eastAsia="Lucida Sans Unicode" w:cs="Times New Roman"/>
      <w:b/>
      <w:bCs/>
      <w:sz w:val="28"/>
      <w:szCs w:val="28"/>
      <w:lang w:eastAsia="ar-SA"/>
    </w:rPr>
  </w:style>
  <w:style w:type="character" w:styleId="960" w:customStyle="1">
    <w:name w:val="Основной текст с отступом Знак"/>
    <w:basedOn w:val="956"/>
    <w:semiHidden/>
    <w:qFormat/>
    <w:pPr>
      <w:pBdr/>
      <w:spacing/>
      <w:ind/>
    </w:pPr>
    <w:rPr>
      <w:rFonts w:ascii="Arial" w:hAnsi="Arial" w:eastAsia="Lucida Sans Unicode" w:cs="Times New Roman"/>
      <w:sz w:val="24"/>
      <w:szCs w:val="24"/>
      <w:lang w:eastAsia="ar-SA"/>
    </w:rPr>
  </w:style>
  <w:style w:type="character" w:styleId="961" w:customStyle="1">
    <w:name w:val="Заголовок 3 Знак"/>
    <w:basedOn w:val="956"/>
    <w:link w:val="954"/>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2" w:customStyle="1">
    <w:name w:val="Интернет-ссылка"/>
    <w:basedOn w:val="956"/>
    <w:uiPriority w:val="99"/>
    <w:semiHidden/>
    <w:unhideWhenUsed/>
    <w:pPr>
      <w:pBdr/>
      <w:spacing/>
      <w:ind/>
    </w:pPr>
    <w:rPr>
      <w:color w:val="0000ff"/>
      <w:u w:val="single"/>
    </w:rPr>
  </w:style>
  <w:style w:type="paragraph" w:styleId="963">
    <w:name w:val="Title"/>
    <w:basedOn w:val="953"/>
    <w:next w:val="964"/>
    <w:qFormat/>
    <w:pPr>
      <w:keepNext w:val="true"/>
      <w:pBdr/>
      <w:spacing w:after="120" w:before="240"/>
      <w:ind/>
    </w:pPr>
    <w:rPr>
      <w:rFonts w:ascii="Liberation Sans" w:hAnsi="Liberation Sans" w:eastAsia="Microsoft YaHei" w:cs="Arial"/>
      <w:sz w:val="28"/>
      <w:szCs w:val="28"/>
    </w:rPr>
  </w:style>
  <w:style w:type="paragraph" w:styleId="964">
    <w:name w:val="Body Text"/>
    <w:basedOn w:val="953"/>
    <w:pPr>
      <w:pBdr/>
      <w:spacing w:after="140" w:line="276" w:lineRule="auto"/>
      <w:ind/>
    </w:pPr>
  </w:style>
  <w:style w:type="paragraph" w:styleId="965">
    <w:name w:val="List"/>
    <w:basedOn w:val="964"/>
    <w:pPr>
      <w:pBdr/>
      <w:spacing/>
      <w:ind/>
    </w:pPr>
    <w:rPr>
      <w:rFonts w:cs="Arial"/>
    </w:rPr>
  </w:style>
  <w:style w:type="paragraph" w:styleId="966">
    <w:name w:val="Caption"/>
    <w:basedOn w:val="953"/>
    <w:qFormat/>
    <w:pPr>
      <w:suppressLineNumbers w:val="true"/>
      <w:pBdr/>
      <w:spacing w:after="120" w:before="120"/>
      <w:ind/>
    </w:pPr>
    <w:rPr>
      <w:rFonts w:cs="Arial"/>
      <w:i/>
      <w:iCs/>
    </w:rPr>
  </w:style>
  <w:style w:type="paragraph" w:styleId="967">
    <w:name w:val="index heading"/>
    <w:basedOn w:val="953"/>
    <w:qFormat/>
    <w:pPr>
      <w:suppressLineNumbers w:val="true"/>
      <w:pBdr/>
      <w:spacing/>
      <w:ind/>
    </w:pPr>
    <w:rPr>
      <w:rFonts w:cs="Arial"/>
    </w:rPr>
  </w:style>
  <w:style w:type="paragraph" w:styleId="968">
    <w:name w:val="Normal (Web)"/>
    <w:basedOn w:val="953"/>
    <w:uiPriority w:val="99"/>
    <w:semiHidden/>
    <w:unhideWhenUsed/>
    <w:qFormat/>
    <w:pPr>
      <w:pBdr/>
      <w:spacing w:after="280" w:before="280"/>
      <w:ind/>
    </w:pPr>
  </w:style>
  <w:style w:type="paragraph" w:styleId="969">
    <w:name w:val="Body Text Indent"/>
    <w:basedOn w:val="953"/>
    <w:semiHidden/>
    <w:unhideWhenUsed/>
    <w:pPr>
      <w:pBdr/>
      <w:spacing w:after="120"/>
      <w:ind w:left="283"/>
    </w:pPr>
  </w:style>
  <w:style w:type="paragraph" w:styleId="970" w:customStyle="1">
    <w:name w:val="Текст в заданном формате"/>
    <w:basedOn w:val="953"/>
    <w:qFormat/>
    <w:pPr>
      <w:pBdr/>
      <w:spacing/>
      <w:ind/>
    </w:pPr>
    <w:rPr>
      <w:rFonts w:ascii="Courier New" w:hAnsi="Courier New" w:eastAsia="Courier New" w:cs="Courier New"/>
      <w:sz w:val="20"/>
      <w:szCs w:val="20"/>
    </w:rPr>
  </w:style>
  <w:style w:type="paragraph" w:styleId="971"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72">
    <w:name w:val="List Paragraph"/>
    <w:basedOn w:val="953"/>
    <w:uiPriority w:val="34"/>
    <w:qFormat/>
    <w:pPr>
      <w:pBdr/>
      <w:spacing/>
      <w:ind w:left="720"/>
      <w:contextualSpacing w:val="true"/>
    </w:pPr>
  </w:style>
  <w:style w:type="numbering" w:styleId="973" w:customStyle="1">
    <w:name w:val="Стиль2"/>
    <w:uiPriority w:val="99"/>
    <w:qFormat/>
    <w:pPr>
      <w:pBdr/>
      <w:spacing/>
      <w:ind/>
    </w:pPr>
  </w:style>
  <w:style w:type="table" w:styleId="974">
    <w:name w:val="Table Grid"/>
    <w:basedOn w:val="957"/>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5"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76"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20127-02B2-4112-9B8E-290A9092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6</cp:revision>
  <dcterms:created xsi:type="dcterms:W3CDTF">2024-05-03T05:43:00Z</dcterms:created>
  <dcterms:modified xsi:type="dcterms:W3CDTF">2026-01-21T06:17:27Z</dcterms:modified>
</cp:coreProperties>
</file>