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highlight w:val="none"/>
        </w:rPr>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76"/>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highlight w:val="none"/>
        </w:rPr>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76"/>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1"/>
        <w:pBdr/>
        <w:spacing/>
        <w:ind/>
        <w:jc w:val="center"/>
        <w:rPr>
          <w:rFonts w:ascii="Times New Roman" w:hAnsi="Times New Roman" w:cs="Times New Roman"/>
          <w:b w:val="0"/>
          <w:bCs w:val="0"/>
          <w:sz w:val="22"/>
          <w:szCs w:val="22"/>
          <w:highlight w:val="yellow"/>
        </w:rPr>
      </w:pPr>
      <w:r>
        <w:rPr>
          <w:rFonts w:ascii="Times New Roman" w:hAnsi="Times New Roman" w:eastAsia="Times New Roman" w:cs="Times New Roman"/>
          <w:b w:val="0"/>
          <w:bCs w:val="0"/>
          <w:sz w:val="22"/>
          <w:szCs w:val="22"/>
          <w:highlight w:val="yellow"/>
        </w:rPr>
      </w:r>
      <w:r>
        <w:rPr>
          <w:rFonts w:ascii="Times New Roman" w:hAnsi="Times New Roman" w:cs="Times New Roman"/>
          <w:b/>
          <w:sz w:val="22"/>
          <w:szCs w:val="22"/>
          <w:highlight w:val="yellow"/>
        </w:rPr>
        <w:t xml:space="preserve">на предоставление неисключительных (ограниче</w:t>
      </w:r>
      <w:r>
        <w:rPr>
          <w:rFonts w:ascii="Times New Roman" w:hAnsi="Times New Roman" w:cs="Times New Roman"/>
          <w:b/>
          <w:sz w:val="22"/>
          <w:szCs w:val="22"/>
          <w:highlight w:val="yellow"/>
        </w:rPr>
        <w:t xml:space="preserve">нных) лицензионных прав использования программного продукта «Конфигурация для учреждений ФСИН для 1С:Предприятие 8»</w:t>
      </w:r>
      <w:r>
        <w:rPr>
          <w:rFonts w:ascii="Times New Roman" w:hAnsi="Times New Roman" w:eastAsia="Times New Roman" w:cs="Times New Roman"/>
          <w:b w:val="0"/>
          <w:bCs w:val="0"/>
          <w:sz w:val="22"/>
          <w:szCs w:val="22"/>
          <w:highlight w:val="yellow"/>
        </w:rPr>
        <w:t xml:space="preserve">, </w:t>
      </w:r>
      <w:r>
        <w:rPr>
          <w:rFonts w:ascii="Times New Roman" w:hAnsi="Times New Roman" w:eastAsia="Times New Roman" w:cs="Times New Roman"/>
          <w:b w:val="0"/>
          <w:bCs w:val="0"/>
          <w:sz w:val="22"/>
          <w:szCs w:val="22"/>
          <w:highlight w:val="yellow"/>
        </w:rPr>
        <w:t xml:space="preserve">на</w:t>
      </w:r>
      <w:r>
        <w:rPr>
          <w:rFonts w:ascii="Times New Roman" w:hAnsi="Times New Roman" w:eastAsia="Times New Roman" w:cs="Times New Roman"/>
          <w:b w:val="0"/>
          <w:bCs w:val="0"/>
          <w:sz w:val="22"/>
          <w:szCs w:val="22"/>
          <w:highlight w:val="yellow"/>
        </w:rPr>
        <w:t xml:space="preserve"> 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r>
    </w:p>
    <w:p>
      <w:pPr>
        <w:pStyle w:val="976"/>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78"/>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Описание объекта закупки.</w:t>
      </w:r>
      <w:r>
        <w:rPr>
          <w:rFonts w:ascii="Times New Roman" w:hAnsi="Times New Roman"/>
          <w:b/>
          <w:sz w:val="22"/>
          <w:szCs w:val="22"/>
        </w:rPr>
      </w:r>
      <w:r>
        <w:rPr>
          <w:rFonts w:ascii="Times New Roman" w:hAnsi="Times New Roman"/>
          <w:b/>
          <w:sz w:val="22"/>
          <w:szCs w:val="22"/>
        </w:rPr>
      </w:r>
    </w:p>
    <w:p>
      <w:pPr>
        <w:pStyle w:val="978"/>
        <w:pBdr/>
        <w:spacing/>
        <w:ind w:left="36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708"/>
        <w:jc w:val="both"/>
        <w:rPr>
          <w:rFonts w:ascii="Times New Roman" w:hAnsi="Times New Roman"/>
          <w:sz w:val="22"/>
          <w:szCs w:val="22"/>
        </w:rPr>
      </w:pPr>
      <w:r>
        <w:rPr>
          <w:rFonts w:ascii="Times New Roman" w:hAnsi="Times New Roman"/>
          <w:sz w:val="22"/>
          <w:szCs w:val="22"/>
        </w:rPr>
        <w:t xml:space="preserve">Программный продукт на базе платфор</w:t>
      </w:r>
      <w:r>
        <w:rPr>
          <w:rFonts w:ascii="Times New Roman" w:hAnsi="Times New Roman"/>
          <w:sz w:val="22"/>
          <w:szCs w:val="22"/>
        </w:rPr>
        <w:t xml:space="preserve">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 </w:t>
      </w:r>
      <w:r>
        <w:rPr>
          <w:rFonts w:ascii="Times New Roman" w:hAnsi="Times New Roman"/>
          <w:bCs/>
          <w:color w:val="222222"/>
          <w:sz w:val="22"/>
          <w:szCs w:val="22"/>
          <w:shd w:val="clear" w:color="auto" w:fill="ffffff"/>
        </w:rPr>
        <w:t xml:space="preserve">Федеральной службы исполнения наказаний (далее – ФСИН):</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W w:w="9345" w:type="dxa"/>
        <w:tblBorders/>
        <w:tblLayout w:type="fixed"/>
        <w:tblLook w:val="04A0" w:firstRow="1" w:lastRow="0" w:firstColumn="1" w:lastColumn="0" w:noHBand="0" w:noVBand="1"/>
        <w:tblStyle w:val="980"/>
      </w:tblPr>
      <w:tblGrid>
        <w:gridCol w:w="560"/>
        <w:gridCol w:w="2410"/>
        <w:gridCol w:w="6375"/>
      </w:tblGrid>
      <w:tr>
        <w:trPr/>
        <w:tc>
          <w:tcPr>
            <w:shd w:val="clear" w:color="auto" w:fill="f2f2f2" w:themeFill="background1" w:themeFillShade="F2"/>
            <w:tcBorders/>
            <w:tcW w:w="56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5"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8"/>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8"/>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78"/>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76"/>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списания сырья», </w:t>
            </w:r>
            <w:r>
              <w:rPr>
                <w:rFonts w:ascii="Times New Roman" w:hAnsi="Times New Roman" w:eastAsia="Times New Roman"/>
                <w:color w:val="000000"/>
                <w:sz w:val="22"/>
                <w:szCs w:val="22"/>
                <w:shd w:val="clear" w:color="auto" w:fill="ffffff"/>
              </w:rPr>
              <w:t xml:space="preserve">«Акт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w:t>
            </w:r>
            <w:r>
              <w:rPr>
                <w:rFonts w:ascii="Times New Roman" w:hAnsi="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w:t>
            </w:r>
            <w:r>
              <w:rPr>
                <w:rFonts w:ascii="Times New Roman" w:hAnsi="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8"/>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w:t>
            </w:r>
            <w:r>
              <w:rPr>
                <w:rFonts w:ascii="Times New Roman" w:hAnsi="Times New Roman"/>
                <w:sz w:val="22"/>
                <w:szCs w:val="22"/>
              </w:rPr>
              <w:t xml:space="preserve">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w:t>
            </w:r>
            <w:r>
              <w:rPr>
                <w:rFonts w:ascii="Times New Roman" w:hAnsi="Times New Roman"/>
                <w:sz w:val="22"/>
                <w:szCs w:val="22"/>
              </w:rPr>
              <w:t xml:space="preserve">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8"/>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78"/>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w:t>
            </w:r>
            <w:r>
              <w:rPr>
                <w:rFonts w:ascii="Times New Roman" w:hAnsi="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8"/>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78"/>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78"/>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w:t>
            </w:r>
            <w:r>
              <w:rPr>
                <w:rFonts w:ascii="Times New Roman" w:hAnsi="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w:t>
            </w:r>
            <w:r>
              <w:rPr>
                <w:rFonts w:ascii="Times New Roman" w:hAnsi="Times New Roman" w:eastAsia="Times New Roman"/>
                <w:color w:val="000000"/>
                <w:sz w:val="22"/>
                <w:szCs w:val="22"/>
                <w:shd w:val="clear" w:color="auto" w:fill="ffffff"/>
              </w:rPr>
              <w:t xml:space="preserve">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78"/>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78"/>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78"/>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78"/>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78"/>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78"/>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w:t>
            </w:r>
            <w:r>
              <w:rPr>
                <w:rFonts w:ascii="Times New Roman" w:hAnsi="Times New Roman"/>
                <w:sz w:val="22"/>
                <w:szCs w:val="22"/>
              </w:rPr>
              <w:t xml:space="preserve">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78"/>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78"/>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78"/>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78"/>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78"/>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78"/>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77"/>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77"/>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77"/>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77"/>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77"/>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77"/>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77"/>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77"/>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w:t>
            </w:r>
            <w:r>
              <w:rPr>
                <w:rFonts w:ascii="Times New Roman" w:hAnsi="Times New Roman"/>
                <w:sz w:val="22"/>
                <w:szCs w:val="22"/>
              </w:rPr>
              <w:t xml:space="preserve">доходов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«Выписки </w:t>
            </w:r>
            <w:r>
              <w:rPr>
                <w:rFonts w:ascii="Times New Roman" w:hAnsi="Times New Roman" w:eastAsia="Tahoma"/>
                <w:color w:val="000000"/>
                <w:sz w:val="22"/>
                <w:szCs w:val="22"/>
                <w:shd w:val="clear" w:color="auto" w:fill="ffffff"/>
              </w:rPr>
              <w:t xml:space="preserve">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78"/>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78"/>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78"/>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w:t>
            </w:r>
            <w:r>
              <w:rPr>
                <w:rFonts w:ascii="Times New Roman" w:hAnsi="Times New Roman" w:eastAsia="Tahoma"/>
                <w:color w:val="000000"/>
                <w:sz w:val="22"/>
                <w:szCs w:val="22"/>
                <w:shd w:val="clear" w:color="auto" w:fill="ffffff"/>
              </w:rPr>
              <w:t xml:space="preserve">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r>
              <w:rPr>
                <w:rFonts w:ascii="Times New Roman" w:hAnsi="Times New Roman"/>
                <w:sz w:val="22"/>
                <w:szCs w:val="22"/>
              </w:rPr>
            </w:r>
            <w:r>
              <w:rPr>
                <w:rFonts w:ascii="Times New Roman" w:hAnsi="Times New Roman"/>
                <w:sz w:val="22"/>
                <w:szCs w:val="22"/>
              </w:rPr>
            </w:r>
          </w:p>
          <w:p>
            <w:pPr>
              <w:pStyle w:val="978"/>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Style w:val="977"/>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8"/>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8"/>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w:t>
            </w:r>
            <w:r>
              <w:rPr>
                <w:rFonts w:ascii="Times New Roman" w:hAnsi="Times New Roman"/>
                <w:sz w:val="22"/>
                <w:szCs w:val="22"/>
                <w:shd w:val="clear" w:color="auto" w:fill="ffffff"/>
              </w:rPr>
              <w:t xml:space="preserve">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многофирменный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w:t>
            </w:r>
            <w:r>
              <w:rPr>
                <w:rFonts w:ascii="Times New Roman" w:hAnsi="Times New Roman" w:eastAsia="Times New Roman"/>
                <w:sz w:val="22"/>
                <w:szCs w:val="22"/>
                <w:lang w:eastAsia="ru-RU"/>
              </w:rPr>
              <w:t xml:space="preserve">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78"/>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afterAutospacing="1"/>
              <w:ind/>
              <w:rPr>
                <w:rFonts w:ascii="Tahoma" w:hAnsi="Tahoma" w:eastAsia="Times New Roman" w:cs="Tahoma"/>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ahoma" w:hAnsi="Tahoma" w:eastAsia="Times New Roman" w:cs="Tahoma"/>
                <w:color w:val="333333"/>
                <w:sz w:val="22"/>
                <w:szCs w:val="22"/>
              </w:rPr>
            </w:r>
            <w:r>
              <w:rPr>
                <w:rFonts w:ascii="Tahoma" w:hAnsi="Tahoma" w:eastAsia="Times New Roman" w:cs="Tahoma"/>
                <w:color w:val="333333"/>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hd w:val="clear" w:color="auto" w:fill="ffffff"/>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выплат по источникам финансирования дефицита бюджета над доведенными бюджетными ассигнованиями,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расходов над утвержденными сметными (плановыми) назначениями,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w:t>
            </w:r>
            <w:r>
              <w:rPr>
                <w:rFonts w:ascii="Times New Roman" w:hAnsi="Times New Roman" w:eastAsia="Times New Roman"/>
                <w:color w:val="000000"/>
                <w:sz w:val="22"/>
                <w:szCs w:val="22"/>
                <w:lang w:eastAsia="ru-RU"/>
              </w:rPr>
              <w:t xml:space="preserve">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78"/>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w:t>
            </w:r>
            <w:r>
              <w:rPr>
                <w:rFonts w:ascii="Times New Roman" w:hAnsi="Times New Roman" w:eastAsia="Times New Roman"/>
                <w:color w:val="000000"/>
                <w:sz w:val="22"/>
                <w:szCs w:val="22"/>
                <w:lang w:eastAsia="ru-RU"/>
              </w:rPr>
              <w:t xml:space="preserve">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78"/>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w:t>
            </w:r>
            <w:r>
              <w:rPr>
                <w:rFonts w:ascii="Times New Roman" w:hAnsi="Times New Roman" w:eastAsia="Times New Roman"/>
                <w:color w:val="000000"/>
                <w:sz w:val="22"/>
                <w:szCs w:val="22"/>
                <w:lang w:eastAsia="ru-RU"/>
              </w:rPr>
              <w:t xml:space="preserve">"Фондовый".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78"/>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78"/>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78"/>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78"/>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78"/>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w:t>
            </w:r>
            <w:r>
              <w:rPr>
                <w:rFonts w:ascii="Times New Roman" w:hAnsi="Times New Roman" w:eastAsia="Times New Roman"/>
                <w:color w:val="000000"/>
                <w:sz w:val="22"/>
                <w:szCs w:val="22"/>
                <w:lang w:eastAsia="ru-RU"/>
              </w:rPr>
              <w:t xml:space="preserve">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78"/>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78"/>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78"/>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8"/>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w:t>
            </w:r>
            <w:r>
              <w:rPr>
                <w:rFonts w:ascii="Times New Roman" w:hAnsi="Times New Roman" w:eastAsia="Times New Roman"/>
                <w:sz w:val="22"/>
                <w:szCs w:val="22"/>
                <w:lang w:eastAsia="ru-RU"/>
              </w:rPr>
              <w:t xml:space="preserve">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78"/>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w:t>
            </w:r>
            <w:r>
              <w:rPr>
                <w:rFonts w:ascii="Times New Roman" w:hAnsi="Times New Roman" w:eastAsia="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w:t>
            </w:r>
            <w:r>
              <w:rPr>
                <w:rFonts w:ascii="Times New Roman" w:hAnsi="Times New Roman" w:eastAsia="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7"/>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8"/>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rPr>
            </w:r>
            <w:r>
              <w:rPr>
                <w:rFonts w:ascii="Times New Roman" w:hAnsi="Times New Roman" w:eastAsia="Times New Roman"/>
                <w:sz w:val="22"/>
                <w:szCs w:val="22"/>
              </w:rPr>
            </w:r>
          </w:p>
          <w:p>
            <w:pPr>
              <w:pStyle w:val="978"/>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w:t>
            </w:r>
            <w:r>
              <w:rPr>
                <w:rFonts w:ascii="Times New Roman" w:hAnsi="Times New Roman" w:eastAsia="Times New Roman"/>
                <w:sz w:val="22"/>
                <w:szCs w:val="22"/>
                <w:lang w:eastAsia="ru-RU"/>
              </w:rPr>
              <w:t xml:space="preserve">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w:t>
            </w:r>
            <w:r>
              <w:rPr>
                <w:rFonts w:ascii="Times New Roman" w:hAnsi="Times New Roman" w:eastAsia="Times New Roman"/>
                <w:sz w:val="22"/>
                <w:szCs w:val="22"/>
                <w:lang w:eastAsia="ru-RU"/>
              </w:rPr>
              <w:t xml:space="preserve">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 для того, чтобы можно было: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8"/>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bl>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8"/>
        <w:numPr>
          <w:ilvl w:val="0"/>
          <w:numId w:val="34"/>
        </w:numPr>
        <w:pBdr/>
        <w:spacing/>
        <w:ind/>
        <w:jc w:val="both"/>
        <w:rPr>
          <w:rFonts w:ascii="Times New Roman" w:hAnsi="Times New Roman"/>
          <w:b/>
          <w:sz w:val="22"/>
          <w:szCs w:val="22"/>
        </w:rPr>
      </w:pPr>
      <w:r>
        <w:rPr>
          <w:rFonts w:ascii="Times New Roman" w:hAnsi="Times New Roman"/>
          <w:b/>
          <w:sz w:val="22"/>
          <w:szCs w:val="22"/>
        </w:rPr>
        <w:t xml:space="preserve">Технические и административные требования к объекту закупки.</w:t>
      </w:r>
      <w:r>
        <w:rPr>
          <w:rFonts w:ascii="Times New Roman" w:hAnsi="Times New Roman"/>
          <w:b/>
          <w:sz w:val="22"/>
          <w:szCs w:val="22"/>
        </w:rPr>
      </w:r>
      <w:r>
        <w:rPr>
          <w:rFonts w:ascii="Times New Roman" w:hAnsi="Times New Roman"/>
          <w:b/>
          <w:sz w:val="22"/>
          <w:szCs w:val="22"/>
        </w:rPr>
      </w:r>
    </w:p>
    <w:p>
      <w:pPr>
        <w:pStyle w:val="978"/>
        <w:pBdr/>
        <w:spacing/>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sz w:val="22"/>
          <w:szCs w:val="22"/>
        </w:rPr>
        <w:t xml:space="preserve">Бухгалтерский учет и расчет заработной платы по всем участкам, описанным в пункте 1 данного ТЗ, должен вестись в одной/единой информационной базе.</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sz w:val="22"/>
          <w:szCs w:val="22"/>
        </w:rPr>
        <w:t xml:space="preserve">Исполнителем должн</w:t>
      </w:r>
      <w:r>
        <w:rPr>
          <w:rFonts w:ascii="Times New Roman" w:hAnsi="Times New Roman"/>
          <w:sz w:val="22"/>
          <w:szCs w:val="22"/>
        </w:rPr>
        <w:t xml:space="preserve">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r>
        <w:rPr>
          <w:rFonts w:ascii="Times New Roman" w:hAnsi="Times New Roman"/>
          <w:sz w:val="22"/>
          <w:szCs w:val="22"/>
        </w:rPr>
      </w:r>
      <w:r>
        <w:rPr>
          <w:rFonts w:ascii="Times New Roman" w:hAnsi="Times New Roman"/>
          <w:sz w:val="22"/>
          <w:szCs w:val="22"/>
        </w:rPr>
      </w:r>
    </w:p>
    <w:p>
      <w:pPr>
        <w:pStyle w:val="978"/>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Назначение объекта закупки. </w:t>
      </w:r>
      <w:r>
        <w:rPr>
          <w:rFonts w:ascii="Times New Roman" w:hAnsi="Times New Roman"/>
          <w:b/>
          <w:sz w:val="22"/>
          <w:szCs w:val="22"/>
        </w:rPr>
      </w:r>
      <w:r>
        <w:rPr>
          <w:rFonts w:ascii="Times New Roman" w:hAnsi="Times New Roman"/>
          <w:b/>
          <w:sz w:val="22"/>
          <w:szCs w:val="22"/>
        </w:rPr>
      </w:r>
    </w:p>
    <w:p>
      <w:pPr>
        <w:pStyle w:val="978"/>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Снижение трудоемкости учета и исключение счетных ошибок.</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Повышение качества учета и отчетности.</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отслеживание текущих изменений в методологии учета;</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Стремление к прозрачности учета.</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получение достоверной бухгалтерской информации за любой период времени.</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 получение информации в разрезе источников финансового обеспечения деятельности, целевых программ (подпрограмм);</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Оперативный контроль:</w:t>
      </w:r>
      <w:r>
        <w:rPr>
          <w:rFonts w:ascii="Times New Roman" w:hAnsi="Times New Roman"/>
          <w:sz w:val="22"/>
          <w:szCs w:val="22"/>
        </w:rPr>
      </w:r>
      <w:r>
        <w:rPr>
          <w:rFonts w:ascii="Times New Roman" w:hAnsi="Times New Roman"/>
          <w:sz w:val="22"/>
          <w:szCs w:val="22"/>
        </w:rPr>
      </w:r>
    </w:p>
    <w:p>
      <w:pPr>
        <w:pStyle w:val="978"/>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наличие денежных средств и материальных ценностей;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состояние расчетов с юридическими и физическими лицами;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дебиторскую и кредиторскую задолженность;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соблюдение финансовой дисциплины;</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исполнение смет и планов финансово-хозяйственной деятельности;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Формирование достоверной бухгалтерской отчетности в короткие сроки.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Эффективное управление расходами и не допущение принятия обязательств свыше установленных лимитов, сметных, плановых назначений.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8"/>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numPr>
          <w:ilvl w:val="0"/>
          <w:numId w:val="34"/>
        </w:numPr>
        <w:pBdr/>
        <w:spacing/>
        <w:ind/>
        <w:jc w:val="both"/>
        <w:rPr>
          <w:rFonts w:ascii="Times New Roman" w:hAnsi="Times New Roman"/>
          <w:b/>
          <w:bCs/>
          <w:color w:val="000000" w:themeColor="text1"/>
          <w:sz w:val="22"/>
          <w:szCs w:val="22"/>
          <w:highlight w:val="white"/>
        </w:rPr>
      </w:pPr>
      <w:r>
        <w:rPr>
          <w:rFonts w:ascii="Times New Roman" w:hAnsi="Times New Roman" w:eastAsia="Times New Roman"/>
          <w:b/>
          <w:bCs/>
          <w:color w:val="000000" w:themeColor="text1"/>
          <w:sz w:val="22"/>
          <w:szCs w:val="22"/>
          <w:highlight w:val="white"/>
        </w:rPr>
        <w:t xml:space="preserve">Требования </w:t>
      </w:r>
      <w:r>
        <w:rPr>
          <w:rFonts w:ascii="Times New Roman" w:hAnsi="Times New Roman" w:eastAsia="Calibri"/>
          <w:b/>
          <w:bCs/>
          <w:color w:val="000000" w:themeColor="text1"/>
          <w:sz w:val="22"/>
          <w:szCs w:val="22"/>
          <w:highlight w:val="white"/>
        </w:rPr>
        <w:t xml:space="preserve">к </w:t>
      </w:r>
      <w:r>
        <w:rPr>
          <w:rFonts w:ascii="Times New Roman" w:hAnsi="Times New Roman" w:eastAsia="Times New Roman" w:cs="Times New Roman"/>
          <w:b/>
          <w:bCs/>
          <w:color w:val="000000" w:themeColor="text1"/>
          <w:sz w:val="22"/>
          <w:szCs w:val="22"/>
          <w:highlight w:val="white"/>
        </w:rPr>
        <w:t xml:space="preserve">и</w:t>
      </w:r>
      <w:r>
        <w:rPr>
          <w:rFonts w:ascii="Times New Roman" w:hAnsi="Times New Roman" w:eastAsia="Times New Roman" w:cs="Times New Roman"/>
          <w:b/>
          <w:bCs/>
          <w:color w:val="000000" w:themeColor="text1"/>
          <w:sz w:val="22"/>
          <w:szCs w:val="22"/>
          <w:highlight w:val="white"/>
        </w:rPr>
        <w:t xml:space="preserve">нф</w:t>
      </w:r>
      <w:r>
        <w:rPr>
          <w:rFonts w:ascii="Times New Roman" w:hAnsi="Times New Roman" w:eastAsia="Times New Roman" w:cs="Times New Roman"/>
          <w:b/>
          <w:bCs/>
          <w:color w:val="000000" w:themeColor="text1"/>
          <w:sz w:val="22"/>
          <w:szCs w:val="22"/>
          <w:highlight w:val="white"/>
        </w:rPr>
        <w:t xml:space="preserve">ормационно-консультационному обслуживанию, </w:t>
      </w:r>
      <w:r>
        <w:rPr>
          <w:rFonts w:ascii="Times New Roman" w:hAnsi="Times New Roman" w:eastAsia="Times New Roman" w:cs="Times New Roman"/>
          <w:b/>
          <w:bCs/>
          <w:color w:val="000000" w:themeColor="text1"/>
          <w:sz w:val="22"/>
          <w:szCs w:val="22"/>
          <w:highlight w:val="white"/>
        </w:rPr>
        <w:t xml:space="preserve">передаче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bCs/>
          <w:color w:val="000000" w:themeColor="text1"/>
          <w:sz w:val="22"/>
          <w:szCs w:val="22"/>
          <w:highlight w:val="white"/>
        </w:rPr>
        <w:t xml:space="preserve">5096</w:t>
      </w:r>
      <w:r>
        <w:rPr>
          <w:rFonts w:ascii="Times New Roman" w:hAnsi="Times New Roman" w:eastAsia="Times New Roman" w:cs="Times New Roman"/>
          <w:b/>
          <w:bCs/>
          <w:color w:val="000000" w:themeColor="text1"/>
          <w:sz w:val="22"/>
          <w:szCs w:val="22"/>
          <w:highlight w:val="white"/>
        </w:rPr>
        <w:t xml:space="preserve">)</w:t>
      </w:r>
      <w:r>
        <w:rPr>
          <w:rFonts w:ascii="Times New Roman" w:hAnsi="Times New Roman"/>
          <w:b/>
          <w:bCs/>
          <w:color w:val="000000" w:themeColor="text1"/>
          <w:sz w:val="22"/>
          <w:szCs w:val="22"/>
          <w:highlight w:val="white"/>
        </w:rPr>
        <w:t xml:space="preserve">:</w:t>
      </w:r>
      <w:r>
        <w:rPr>
          <w:rFonts w:ascii="Times New Roman" w:hAnsi="Times New Roman"/>
          <w:b/>
          <w:bCs/>
          <w:color w:val="000000" w:themeColor="text1"/>
          <w:sz w:val="22"/>
          <w:szCs w:val="22"/>
          <w:highlight w:val="white"/>
        </w:rPr>
      </w:r>
    </w:p>
    <w:p>
      <w:pPr>
        <w:pStyle w:val="978"/>
        <w:pBdr/>
        <w:spacing/>
        <w:ind/>
        <w:jc w:val="both"/>
        <w:rPr>
          <w:rFonts w:ascii="Times New Roman" w:hAnsi="Times New Roman" w:eastAsia="Times New Roman"/>
          <w:b/>
          <w:sz w:val="22"/>
          <w:szCs w:val="22"/>
        </w:rPr>
      </w:pPr>
      <w:r>
        <w:rPr>
          <w:rFonts w:ascii="Times New Roman" w:hAnsi="Times New Roman" w:eastAsia="Times New Roman"/>
          <w:b/>
          <w:sz w:val="22"/>
          <w:szCs w:val="22"/>
        </w:rPr>
      </w:r>
      <w:r>
        <w:rPr>
          <w:rFonts w:ascii="Times New Roman" w:hAnsi="Times New Roman" w:eastAsia="Times New Roman"/>
          <w:b/>
          <w:sz w:val="22"/>
          <w:szCs w:val="22"/>
        </w:rPr>
      </w:r>
      <w:r>
        <w:rPr>
          <w:rFonts w:ascii="Times New Roman" w:hAnsi="Times New Roman" w:eastAsia="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w:t>
      </w:r>
      <w:r>
        <w:rPr>
          <w:rFonts w:ascii="Times New Roman" w:hAnsi="Times New Roman"/>
          <w:sz w:val="22"/>
          <w:szCs w:val="22"/>
        </w:rPr>
        <w:t xml:space="preserve">администрируемых ФНС России, главных администраторов, администраторов источников финансирования дефицита бюджета;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 ведение учета как одного учреждения, так и группы учреж</w:t>
      </w:r>
      <w:r>
        <w:rPr>
          <w:rFonts w:ascii="Times New Roman" w:hAnsi="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b/>
          <w:sz w:val="22"/>
          <w:szCs w:val="22"/>
        </w:rPr>
      </w:pPr>
      <w:r>
        <w:rPr>
          <w:rFonts w:ascii="Times New Roman" w:hAnsi="Times New Roman" w:eastAsia="Times New Roman"/>
          <w:sz w:val="22"/>
          <w:szCs w:val="22"/>
        </w:rPr>
        <w:t xml:space="preserve">Ведение учета казенных, бюджетных и автономных учреждений.</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431" w:left="788"/>
        <w:jc w:val="both"/>
        <w:rPr>
          <w:rFonts w:ascii="Times New Roman" w:hAnsi="Times New Roman"/>
          <w:b/>
          <w:sz w:val="22"/>
          <w:szCs w:val="22"/>
        </w:rPr>
      </w:pPr>
      <w:r>
        <w:rPr>
          <w:rFonts w:ascii="Times New Roman" w:hAnsi="Times New Roman" w:eastAsia="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Ведение обособленного учета по источникам финансового обеспечения.</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Обособленный учет операций по переданным полномочиям.</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позволяющее уменьшить ошибки и неточности, </w:t>
      </w:r>
      <w:r>
        <w:rPr>
          <w:rFonts w:ascii="Times New Roman" w:hAnsi="Times New Roman"/>
          <w:sz w:val="22"/>
          <w:szCs w:val="22"/>
        </w:rPr>
        <w:t xml:space="preserve">совершаемые пользователями</w:t>
      </w:r>
      <w:r>
        <w:rPr>
          <w:rFonts w:ascii="Times New Roman" w:hAnsi="Times New Roman"/>
          <w:sz w:val="22"/>
          <w:szCs w:val="22"/>
        </w:rPr>
        <w:t xml:space="preserve"> программного продукта;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 результатам работы системных аналитиков Исполнителя;</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w:t>
      </w:r>
      <w:r>
        <w:rPr>
          <w:rFonts w:ascii="Times New Roman" w:hAnsi="Times New Roman"/>
          <w:sz w:val="22"/>
          <w:szCs w:val="22"/>
        </w:rPr>
        <w:t xml:space="preserve">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Style w:val="967"/>
          <w:rFonts w:ascii="Times New Roman" w:hAnsi="Times New Roman"/>
          <w:b/>
          <w:sz w:val="22"/>
          <w:szCs w:val="22"/>
        </w:rPr>
      </w:pPr>
      <w:r>
        <w:rPr>
          <w:rStyle w:val="967"/>
          <w:rFonts w:ascii="Times New Roman" w:hAnsi="Times New Roman"/>
          <w:sz w:val="22"/>
          <w:szCs w:val="22"/>
        </w:rPr>
        <w:t xml:space="preserve">резервное копирование перед проведением любого обновления в </w:t>
      </w:r>
      <w:r>
        <w:rPr>
          <w:rFonts w:ascii="Times New Roman" w:hAnsi="Times New Roman"/>
          <w:sz w:val="22"/>
          <w:szCs w:val="22"/>
        </w:rPr>
        <w:t xml:space="preserve">согласованное с </w:t>
      </w:r>
      <w:r>
        <w:rPr>
          <w:rFonts w:ascii="Times New Roman" w:hAnsi="Times New Roman"/>
          <w:sz w:val="22"/>
          <w:szCs w:val="22"/>
        </w:rPr>
        <w:t xml:space="preserve">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967"/>
          <w:rFonts w:ascii="Times New Roman" w:hAnsi="Times New Roman"/>
          <w:sz w:val="22"/>
          <w:szCs w:val="22"/>
        </w:rPr>
        <w:t xml:space="preserve">;</w:t>
      </w:r>
      <w:r>
        <w:rPr>
          <w:rStyle w:val="967"/>
          <w:rFonts w:ascii="Times New Roman" w:hAnsi="Times New Roman"/>
          <w:b/>
          <w:sz w:val="22"/>
          <w:szCs w:val="22"/>
        </w:rPr>
      </w:r>
      <w:r>
        <w:rPr>
          <w:rStyle w:val="967"/>
          <w:rFonts w:ascii="Times New Roman" w:hAnsi="Times New Roman"/>
          <w:b/>
          <w:sz w:val="22"/>
          <w:szCs w:val="22"/>
        </w:rPr>
      </w:r>
    </w:p>
    <w:p>
      <w:pPr>
        <w:pStyle w:val="978"/>
        <w:numPr>
          <w:ilvl w:val="1"/>
          <w:numId w:val="34"/>
        </w:numPr>
        <w:pBdr/>
        <w:spacing/>
        <w:ind w:hanging="636" w:left="993"/>
        <w:jc w:val="both"/>
        <w:rPr>
          <w:rStyle w:val="967"/>
          <w:rFonts w:ascii="Times New Roman" w:hAnsi="Times New Roman"/>
          <w:b/>
          <w:sz w:val="22"/>
          <w:szCs w:val="22"/>
        </w:rPr>
      </w:pPr>
      <w:r>
        <w:rPr>
          <w:rStyle w:val="967"/>
          <w:rFonts w:ascii="Times New Roman" w:hAnsi="Times New Roman"/>
          <w:sz w:val="22"/>
          <w:szCs w:val="22"/>
        </w:rPr>
        <w:t xml:space="preserve">восстановление информации из резервных копий информационных баз;</w:t>
      </w:r>
      <w:r>
        <w:rPr>
          <w:rStyle w:val="967"/>
          <w:rFonts w:ascii="Times New Roman" w:hAnsi="Times New Roman"/>
          <w:b/>
          <w:sz w:val="22"/>
          <w:szCs w:val="22"/>
        </w:rPr>
      </w:r>
      <w:r>
        <w:rPr>
          <w:rStyle w:val="967"/>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форм утвержденной отчетности по мере их выхода;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hAnsi="Times New Roman"/>
          <w:sz w:val="22"/>
          <w:szCs w:val="22"/>
          <w:u w:val="single"/>
        </w:rPr>
        <w:t xml:space="preserve">ежемесячно, не позднее 28 числа каждого месяца;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Style w:val="967"/>
          <w:rFonts w:ascii="Times New Roman" w:hAnsi="Times New Roman"/>
          <w:b/>
          <w:sz w:val="22"/>
          <w:szCs w:val="22"/>
        </w:rPr>
      </w:pPr>
      <w:r>
        <w:rPr>
          <w:rStyle w:val="967"/>
          <w:rFonts w:ascii="Times New Roman" w:hAnsi="Times New Roman"/>
          <w:sz w:val="22"/>
          <w:szCs w:val="22"/>
        </w:rPr>
        <w:t xml:space="preserve">тестирование программного продукта после обновления на предмет нормальной работы, включая наработанный функционал;</w:t>
      </w:r>
      <w:r>
        <w:rPr>
          <w:rStyle w:val="967"/>
          <w:rFonts w:ascii="Times New Roman" w:hAnsi="Times New Roman"/>
          <w:b/>
          <w:sz w:val="22"/>
          <w:szCs w:val="22"/>
        </w:rPr>
      </w:r>
      <w:r>
        <w:rPr>
          <w:rStyle w:val="967"/>
          <w:rFonts w:ascii="Times New Roman" w:hAnsi="Times New Roman"/>
          <w:b/>
          <w:sz w:val="22"/>
          <w:szCs w:val="22"/>
        </w:rPr>
      </w:r>
    </w:p>
    <w:p>
      <w:pPr>
        <w:pStyle w:val="978"/>
        <w:numPr>
          <w:ilvl w:val="1"/>
          <w:numId w:val="34"/>
        </w:numPr>
        <w:pBdr/>
        <w:spacing/>
        <w:ind w:hanging="636" w:left="993"/>
        <w:jc w:val="both"/>
        <w:rPr>
          <w:rStyle w:val="968"/>
          <w:rFonts w:ascii="Times New Roman" w:hAnsi="Times New Roman"/>
          <w:b/>
          <w:sz w:val="22"/>
          <w:szCs w:val="22"/>
        </w:rPr>
      </w:pPr>
      <w:r>
        <w:rPr>
          <w:rStyle w:val="968"/>
          <w:rFonts w:ascii="Times New Roman" w:hAnsi="Times New Roman"/>
          <w:sz w:val="22"/>
          <w:szCs w:val="22"/>
        </w:rPr>
        <w:t xml:space="preserve">все доработки, установленные в программный продукт Заказчика, не должны быть изменены, потеряны.</w:t>
      </w:r>
      <w:r>
        <w:rPr>
          <w:rStyle w:val="968"/>
          <w:rFonts w:ascii="Times New Roman" w:hAnsi="Times New Roman"/>
          <w:b/>
          <w:sz w:val="22"/>
          <w:szCs w:val="22"/>
        </w:rPr>
      </w:r>
      <w:r>
        <w:rPr>
          <w:rStyle w:val="968"/>
          <w:rFonts w:ascii="Times New Roman" w:hAnsi="Times New Roman"/>
          <w:b/>
          <w:sz w:val="22"/>
          <w:szCs w:val="22"/>
        </w:rPr>
      </w:r>
    </w:p>
    <w:p>
      <w:pPr>
        <w:pStyle w:val="978"/>
        <w:numPr>
          <w:ilvl w:val="1"/>
          <w:numId w:val="34"/>
        </w:numPr>
        <w:pBdr/>
        <w:spacing/>
        <w:ind w:hanging="636" w:left="993"/>
        <w:jc w:val="both"/>
        <w:rPr>
          <w:rStyle w:val="968"/>
          <w:rFonts w:ascii="Times New Roman" w:hAnsi="Times New Roman"/>
          <w:b/>
          <w:sz w:val="22"/>
          <w:szCs w:val="22"/>
        </w:rPr>
      </w:pPr>
      <w:r>
        <w:rPr>
          <w:rStyle w:val="968"/>
          <w:rFonts w:ascii="Times New Roman" w:hAnsi="Times New Roman"/>
          <w:sz w:val="22"/>
          <w:szCs w:val="22"/>
        </w:rPr>
        <w:t xml:space="preserve">сохранение нетиповых функциональных возможностей при обновлении программного продукта;</w:t>
      </w:r>
      <w:r>
        <w:rPr>
          <w:rStyle w:val="968"/>
          <w:rFonts w:ascii="Times New Roman" w:hAnsi="Times New Roman"/>
          <w:b/>
          <w:sz w:val="22"/>
          <w:szCs w:val="22"/>
        </w:rPr>
      </w:r>
      <w:r>
        <w:rPr>
          <w:rStyle w:val="968"/>
          <w:rFonts w:ascii="Times New Roman" w:hAnsi="Times New Roman"/>
          <w:b/>
          <w:sz w:val="22"/>
          <w:szCs w:val="22"/>
        </w:rPr>
      </w:r>
    </w:p>
    <w:p>
      <w:pPr>
        <w:pStyle w:val="978"/>
        <w:numPr>
          <w:ilvl w:val="1"/>
          <w:numId w:val="34"/>
        </w:numPr>
        <w:pBdr/>
        <w:spacing/>
        <w:ind w:hanging="636" w:left="993"/>
        <w:jc w:val="both"/>
        <w:rPr>
          <w:rStyle w:val="967"/>
          <w:rFonts w:ascii="Times New Roman" w:hAnsi="Times New Roman"/>
          <w:b/>
          <w:sz w:val="22"/>
          <w:szCs w:val="22"/>
        </w:rPr>
      </w:pPr>
      <w:r>
        <w:rPr>
          <w:rStyle w:val="967"/>
          <w:rFonts w:ascii="Times New Roman" w:hAnsi="Times New Roman"/>
          <w:sz w:val="22"/>
          <w:szCs w:val="22"/>
        </w:rPr>
        <w:t xml:space="preserve">обеспечение нормальной работы программного продукта, в том числе после обновления и доработки;</w:t>
      </w:r>
      <w:r>
        <w:rPr>
          <w:rStyle w:val="967"/>
          <w:rFonts w:ascii="Times New Roman" w:hAnsi="Times New Roman"/>
          <w:b/>
          <w:sz w:val="22"/>
          <w:szCs w:val="22"/>
        </w:rPr>
      </w:r>
      <w:r>
        <w:rPr>
          <w:rStyle w:val="967"/>
          <w:rFonts w:ascii="Times New Roman" w:hAnsi="Times New Roman"/>
          <w:b/>
          <w:sz w:val="22"/>
          <w:szCs w:val="22"/>
        </w:rPr>
      </w:r>
    </w:p>
    <w:p>
      <w:pPr>
        <w:pStyle w:val="978"/>
        <w:numPr>
          <w:ilvl w:val="1"/>
          <w:numId w:val="34"/>
        </w:numPr>
        <w:pBdr/>
        <w:spacing/>
        <w:ind w:hanging="636" w:left="993"/>
        <w:jc w:val="both"/>
        <w:rPr>
          <w:rStyle w:val="967"/>
          <w:rFonts w:ascii="Times New Roman" w:hAnsi="Times New Roman"/>
          <w:b/>
          <w:sz w:val="22"/>
          <w:szCs w:val="22"/>
        </w:rPr>
      </w:pPr>
      <w:r>
        <w:rPr>
          <w:rStyle w:val="967"/>
          <w:rFonts w:ascii="Times New Roman" w:hAnsi="Times New Roman"/>
          <w:sz w:val="22"/>
          <w:szCs w:val="22"/>
        </w:rPr>
        <w:t xml:space="preserve">разграничение прав доступа пользователей программного продукта к хранимым в них данным и функционалу программного продукта;</w:t>
      </w:r>
      <w:r>
        <w:rPr>
          <w:rStyle w:val="967"/>
          <w:rFonts w:ascii="Times New Roman" w:hAnsi="Times New Roman"/>
          <w:b/>
          <w:sz w:val="22"/>
          <w:szCs w:val="22"/>
        </w:rPr>
      </w:r>
      <w:r>
        <w:rPr>
          <w:rStyle w:val="967"/>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повторная установка, настройка программного продукта в случае переустановки операционной системы, замены компьютера Заказчика;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техническая консультация </w:t>
      </w:r>
      <w:r>
        <w:rPr>
          <w:rFonts w:ascii="Times New Roman" w:hAnsi="Times New Roman"/>
          <w:sz w:val="22"/>
          <w:szCs w:val="22"/>
          <w:lang w:val="en-US"/>
        </w:rPr>
        <w:t xml:space="preserve">IT</w:t>
      </w:r>
      <w:r>
        <w:rPr>
          <w:rFonts w:ascii="Times New Roman" w:hAnsi="Times New Roman"/>
          <w:sz w:val="22"/>
          <w:szCs w:val="22"/>
        </w:rPr>
        <w:t xml:space="preserve">-специалистов Заказчика по настройке и поддержанию работы программного продукта;</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подписка на Информационно-Технологическое Сопровождение</w:t>
      </w:r>
      <w:r>
        <w:rPr>
          <w:rFonts w:ascii="Times New Roman" w:hAnsi="Times New Roman" w:eastAsia="Calibri"/>
          <w:color w:val="0d0d0d"/>
          <w:sz w:val="22"/>
          <w:szCs w:val="22"/>
        </w:rPr>
        <w:t xml:space="preserve"> (1С: КП ГУ Базовый)</w:t>
      </w:r>
      <w:r>
        <w:rPr>
          <w:rFonts w:ascii="Times New Roman" w:hAnsi="Times New Roman" w:eastAsia="Calibri"/>
          <w:color w:val="0d0d0d"/>
          <w:sz w:val="22"/>
          <w:szCs w:val="22"/>
        </w:rPr>
        <w:t xml:space="preserve"> на 12 месяцев;</w:t>
      </w:r>
      <w:r>
        <w:rPr>
          <w:rFonts w:ascii="Times New Roman" w:hAnsi="Times New Roman"/>
          <w:b/>
          <w:sz w:val="22"/>
          <w:szCs w:val="22"/>
        </w:rPr>
      </w:r>
      <w:r>
        <w:rPr>
          <w:rFonts w:ascii="Times New Roman" w:hAnsi="Times New Roman"/>
          <w:b/>
          <w:sz w:val="22"/>
          <w:szCs w:val="22"/>
        </w:rPr>
      </w:r>
    </w:p>
    <w:p>
      <w:pPr>
        <w:pBdr/>
        <w:spacing/>
        <w:ind w:firstLine="0" w:left="360"/>
        <w:jc w:val="both"/>
        <w:rPr>
          <w:rFonts w:ascii="Times New Roman" w:hAnsi="Times New Roman"/>
          <w:b/>
          <w:sz w:val="22"/>
          <w:szCs w:val="22"/>
        </w:rPr>
      </w:pPr>
      <w:r>
        <w:rPr>
          <w:rFonts w:ascii="Times New Roman" w:hAnsi="Times New Roman"/>
          <w:sz w:val="22"/>
          <w:szCs w:val="22"/>
        </w:rPr>
      </w:r>
      <w:r>
        <w:rPr>
          <w:rFonts w:ascii="Times New Roman" w:hAnsi="Times New Roman"/>
          <w:b/>
          <w:sz w:val="22"/>
          <w:szCs w:val="22"/>
        </w:rPr>
      </w:r>
      <w:r>
        <w:rPr>
          <w:rFonts w:ascii="Times New Roman" w:hAnsi="Times New Roman"/>
          <w:b/>
          <w:sz w:val="22"/>
          <w:szCs w:val="22"/>
        </w:rPr>
      </w:r>
    </w:p>
    <w:p>
      <w:pPr>
        <w:pStyle w:val="978"/>
        <w:pBdr/>
        <w:spacing/>
        <w:ind w:left="993"/>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Bdr/>
        <w:spacing/>
        <w:ind/>
        <w:jc w:val="both"/>
        <w:rPr>
          <w:rFonts w:ascii="Times New Roman" w:hAnsi="Times New Roman" w:eastAsia="Calibri"/>
          <w:color w:val="0d0d0d"/>
          <w:sz w:val="22"/>
          <w:szCs w:val="22"/>
        </w:rPr>
      </w:pPr>
      <w:r>
        <w:rPr>
          <w:rFonts w:ascii="Times New Roman" w:hAnsi="Times New Roman" w:eastAsia="Calibri"/>
          <w:color w:val="0d0d0d"/>
          <w:sz w:val="22"/>
          <w:szCs w:val="22"/>
        </w:rPr>
      </w:r>
      <w:r>
        <w:rPr>
          <w:rFonts w:ascii="Times New Roman" w:hAnsi="Times New Roman" w:eastAsia="Calibri"/>
          <w:color w:val="0d0d0d"/>
          <w:sz w:val="22"/>
          <w:szCs w:val="22"/>
        </w:rPr>
      </w:r>
      <w:r>
        <w:rPr>
          <w:rFonts w:ascii="Times New Roman" w:hAnsi="Times New Roman" w:eastAsia="Calibri"/>
          <w:color w:val="0d0d0d"/>
          <w:sz w:val="22"/>
          <w:szCs w:val="22"/>
        </w:rPr>
      </w:r>
    </w:p>
    <w:p>
      <w:pPr>
        <w:pBdr/>
        <w:tabs>
          <w:tab w:val="left" w:leader="none" w:pos="993"/>
        </w:tabs>
        <w:spacing/>
        <w:ind w:firstLine="567"/>
        <w:jc w:val="both"/>
        <w:rPr>
          <w:rFonts w:ascii="Times New Roman" w:hAnsi="Times New Roman" w:eastAsia="Calibri"/>
          <w:color w:val="000000"/>
          <w:sz w:val="22"/>
          <w:szCs w:val="22"/>
        </w:rPr>
      </w:pPr>
      <w:r>
        <w:rPr>
          <w:rFonts w:ascii="Times New Roman" w:hAnsi="Times New Roman" w:eastAsia="Calibri"/>
          <w:b/>
          <w:bCs/>
          <w:color w:val="000000"/>
          <w:sz w:val="22"/>
          <w:szCs w:val="22"/>
        </w:rPr>
        <w:t xml:space="preserve">Учет рабочего времени и выполненных работ</w:t>
      </w:r>
      <w:r>
        <w:rPr>
          <w:rFonts w:ascii="Times New Roman" w:hAnsi="Times New Roman"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w:t>
      </w:r>
      <w:r>
        <w:rPr>
          <w:rFonts w:ascii="Times New Roman" w:hAnsi="Times New Roman" w:eastAsia="Calibri"/>
          <w:color w:val="000000"/>
          <w:sz w:val="22"/>
          <w:szCs w:val="22"/>
        </w:rPr>
        <w:t xml:space="preserve">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hAnsi="Times New Roman" w:eastAsia="Calibri"/>
          <w:b/>
          <w:color w:val="000000"/>
          <w:sz w:val="22"/>
          <w:szCs w:val="22"/>
        </w:rPr>
        <w:t xml:space="preserve">(поминутная тарификация)</w:t>
      </w:r>
      <w:r>
        <w:rPr>
          <w:rFonts w:ascii="Times New Roman" w:hAnsi="Times New Roman" w:eastAsia="Calibri"/>
          <w:color w:val="000000"/>
          <w:sz w:val="22"/>
          <w:szCs w:val="22"/>
        </w:rPr>
        <w:t xml:space="preserve">, оказанных данным специалистом Исполнителя за указанное в ЛУР</w:t>
      </w:r>
      <w:r>
        <w:rPr>
          <w:rFonts w:ascii="Times New Roman" w:hAnsi="Times New Roman" w:eastAsia="Calibri"/>
          <w:color w:val="000000"/>
          <w:sz w:val="22"/>
          <w:szCs w:val="22"/>
        </w:rPr>
        <w:t xml:space="preserve">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Bdr/>
        <w:spacing w:after="113"/>
        <w:ind w:firstLine="54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8"/>
        <w:numPr>
          <w:ilvl w:val="0"/>
          <w:numId w:val="34"/>
        </w:numPr>
        <w:pBdr/>
        <w:spacing w:after="113"/>
        <w:ind/>
        <w:jc w:val="both"/>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78"/>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8"/>
        <w:pBdr/>
        <w:spacing w:after="113"/>
        <w:ind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78"/>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78"/>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78"/>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Версия 3.5».</w:t>
      </w:r>
      <w:r>
        <w:rPr>
          <w:rFonts w:ascii="Times New Roman" w:hAnsi="Times New Roman"/>
          <w:b/>
          <w:sz w:val="22"/>
          <w:szCs w:val="22"/>
        </w:rPr>
      </w:r>
      <w:r>
        <w:rPr>
          <w:rFonts w:ascii="Times New Roman" w:hAnsi="Times New Roman"/>
          <w:b/>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доступ</w:t>
      </w:r>
      <w:r>
        <w:rPr>
          <w:rFonts w:ascii="Times New Roman" w:hAnsi="Times New Roman"/>
          <w:sz w:val="22"/>
          <w:szCs w:val="22"/>
        </w:rPr>
        <w:t xml:space="preserve"> </w:t>
      </w:r>
      <w:r>
        <w:rPr>
          <w:rFonts w:ascii="Times New Roman" w:hAnsi="Times New Roman" w:eastAsia="Calibri"/>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w:t>
      </w:r>
      <w:r>
        <w:rPr>
          <w:rFonts w:ascii="Times New Roman" w:hAnsi="Times New Roman" w:eastAsia="Calibri"/>
          <w:color w:val="000000"/>
          <w:sz w:val="22"/>
          <w:szCs w:val="22"/>
        </w:rPr>
        <w:t xml:space="preserve">учреждений ФСИН».</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Отсутствие в реестре недобросовестных поставщиков.</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1512"/>
        <w:jc w:val="both"/>
        <w:rPr>
          <w:rFonts w:ascii="Times New Roman" w:hAnsi="Times New Roman" w:eastAsia="Calibri"/>
          <w:color w:val="000000"/>
          <w:sz w:val="22"/>
          <w:szCs w:val="22"/>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Доступ к базе могут иметь только сотрудники, состоящие в штате.</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Срок оказания услуг: После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eastAsia="Calibri"/>
          <w:color w:val="000000"/>
          <w:sz w:val="22"/>
          <w:szCs w:val="22"/>
        </w:rPr>
      </w:pPr>
      <w:r>
        <w:rPr>
          <w:rFonts w:ascii="Times New Roman" w:hAnsi="Times New Roman"/>
          <w:bCs/>
          <w:color w:val="000000"/>
          <w:sz w:val="22"/>
          <w:szCs w:val="22"/>
        </w:rPr>
        <w:t xml:space="preserve">Количество программных продуктов: 1 шт.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numPr>
          <w:ilvl w:val="1"/>
          <w:numId w:val="34"/>
        </w:numPr>
        <w:pBdr/>
        <w:spacing/>
        <w:ind/>
        <w:jc w:val="both"/>
        <w:rPr>
          <w:rFonts w:ascii="Times New Roman" w:hAnsi="Times New Roman"/>
          <w:sz w:val="22"/>
          <w:szCs w:val="22"/>
        </w:rPr>
      </w:pPr>
      <w:r>
        <w:rPr>
          <w:rFonts w:ascii="Times New Roman" w:hAnsi="Times New Roman"/>
          <w:b/>
          <w:bCs/>
          <w:sz w:val="22"/>
          <w:szCs w:val="22"/>
        </w:rPr>
        <w:t xml:space="preserve">Объем оказываемых услуг:</w:t>
      </w:r>
      <w:r>
        <w:rPr>
          <w:rFonts w:ascii="Times New Roman" w:hAnsi="Times New Roman"/>
          <w:bCs/>
          <w:sz w:val="22"/>
          <w:szCs w:val="22"/>
        </w:rPr>
        <w:t xml:space="preserve"> ___ часа. </w:t>
      </w:r>
      <w:r>
        <w:rPr>
          <w:rFonts w:ascii="Times New Roman" w:hAnsi="Times New Roman"/>
          <w:sz w:val="22"/>
          <w:szCs w:val="22"/>
        </w:rPr>
      </w:r>
      <w:r>
        <w:rPr>
          <w:rFonts w:ascii="Times New Roman" w:hAnsi="Times New Roman"/>
          <w:sz w:val="22"/>
          <w:szCs w:val="22"/>
        </w:rPr>
      </w:r>
    </w:p>
    <w:p>
      <w:pPr>
        <w:pStyle w:val="978"/>
        <w:numPr>
          <w:ilvl w:val="1"/>
          <w:numId w:val="34"/>
        </w:numPr>
        <w:pBdr/>
        <w:spacing/>
        <w:ind/>
        <w:jc w:val="both"/>
        <w:rPr>
          <w:rFonts w:ascii="Times New Roman" w:hAnsi="Times New Roman" w:eastAsia="Times New Roman" w:cs="Times New Roman"/>
          <w:sz w:val="22"/>
          <w:szCs w:val="22"/>
          <w:highlight w:val="yellow"/>
        </w:rPr>
      </w:pPr>
      <w:r>
        <w:rPr>
          <w:rFonts w:ascii="Times New Roman" w:hAnsi="Times New Roman"/>
          <w:bCs/>
          <w:sz w:val="22"/>
          <w:szCs w:val="22"/>
        </w:rPr>
      </w:r>
      <w:r>
        <w:rPr>
          <w:rFonts w:ascii="Times New Roman" w:hAnsi="Times New Roman" w:eastAsia="Times New Roman" w:cs="Times New Roman"/>
          <w:b/>
          <w:bCs/>
          <w:sz w:val="22"/>
          <w:szCs w:val="22"/>
          <w:highlight w:val="yellow"/>
        </w:rPr>
        <w:t xml:space="preserve">Стоимость 1 часа оказываемых услуг:</w:t>
      </w:r>
      <w:r>
        <w:rPr>
          <w:rFonts w:ascii="Times New Roman" w:hAnsi="Times New Roman" w:eastAsia="Times New Roman" w:cs="Times New Roman"/>
          <w:bCs/>
          <w:sz w:val="22"/>
          <w:szCs w:val="22"/>
          <w:highlight w:val="yellow"/>
        </w:rPr>
        <w:t xml:space="preserve"> 2 </w:t>
      </w:r>
      <w:r>
        <w:rPr>
          <w:rFonts w:ascii="Times New Roman" w:hAnsi="Times New Roman" w:eastAsia="Times New Roman" w:cs="Times New Roman"/>
          <w:bCs/>
          <w:sz w:val="22"/>
          <w:szCs w:val="22"/>
          <w:highlight w:val="yellow"/>
        </w:rPr>
        <w:t xml:space="preserve">520</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две тысячи пятьсот двадцать) рублей 00 копеек</w:t>
      </w:r>
      <w:r>
        <w:rPr>
          <w:rFonts w:ascii="Times New Roman" w:hAnsi="Times New Roman" w:eastAsia="Times New Roman" w:cs="Times New Roman"/>
          <w:bCs/>
          <w:sz w:val="22"/>
          <w:szCs w:val="22"/>
          <w:highlight w:val="yellow"/>
        </w:rPr>
        <w:t xml:space="preserve">, 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p>
      <w:pPr>
        <w:pStyle w:val="978"/>
        <w:numPr>
          <w:ilvl w:val="1"/>
          <w:numId w:val="34"/>
        </w:numPr>
        <w:pBdr/>
        <w:spacing/>
        <w:ind/>
        <w:jc w:val="both"/>
        <w:rPr>
          <w:rFonts w:ascii="Times New Roman" w:hAnsi="Times New Roman" w:eastAsia="Times New Roman" w:cs="Times New Roman"/>
          <w:sz w:val="22"/>
          <w:szCs w:val="22"/>
          <w:highlight w:val="yellow"/>
        </w:rPr>
      </w:pPr>
      <w:r>
        <w:rPr>
          <w:rFonts w:ascii="Times New Roman" w:hAnsi="Times New Roman" w:eastAsia="Times New Roman" w:cs="Times New Roman"/>
          <w:sz w:val="22"/>
          <w:szCs w:val="22"/>
          <w:highlight w:val="yellow"/>
        </w:rPr>
      </w:r>
      <w:r>
        <w:rPr>
          <w:rFonts w:ascii="Times New Roman" w:hAnsi="Times New Roman" w:eastAsia="Times New Roman" w:cs="Times New Roman"/>
          <w:b/>
          <w:bCs/>
          <w:sz w:val="22"/>
          <w:szCs w:val="22"/>
          <w:highlight w:val="yellow"/>
        </w:rPr>
        <w:t xml:space="preserve">Стоимость </w:t>
      </w:r>
      <w:r>
        <w:rPr>
          <w:rFonts w:ascii="Times New Roman" w:hAnsi="Times New Roman" w:eastAsia="Times New Roman" w:cs="Times New Roman"/>
          <w:b/>
          <w:bCs/>
          <w:sz w:val="22"/>
          <w:szCs w:val="22"/>
          <w:highlight w:val="none"/>
        </w:rPr>
        <w:t xml:space="preserve">п</w:t>
      </w:r>
      <w:r>
        <w:rPr>
          <w:rFonts w:ascii="Times New Roman" w:hAnsi="Times New Roman" w:eastAsia="Times New Roman" w:cs="Times New Roman"/>
          <w:b/>
          <w:bCs/>
          <w:sz w:val="22"/>
          <w:szCs w:val="22"/>
          <w:highlight w:val="yellow"/>
        </w:rPr>
        <w:t xml:space="preserve">ередачи неисключительного права на использование обновлений программного продукта «Конфигурация для учреждений ФСИН для 1С:Предприятие 8» </w:t>
      </w:r>
      <w:r>
        <w:rPr>
          <w:rFonts w:ascii="Times New Roman" w:hAnsi="Times New Roman" w:eastAsia="Times New Roman" w:cs="Times New Roman"/>
          <w:b w:val="0"/>
          <w:bCs w:val="0"/>
          <w:sz w:val="22"/>
          <w:szCs w:val="22"/>
          <w:highlight w:val="yellow"/>
        </w:rPr>
        <w:t xml:space="preserve">(№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 включая предоставление доступа к их получению- </w:t>
      </w:r>
      <w:r>
        <w:rPr>
          <w:rFonts w:ascii="Times New Roman" w:hAnsi="Times New Roman" w:eastAsia="Times New Roman" w:cs="Times New Roman"/>
          <w:bCs/>
          <w:sz w:val="22"/>
          <w:szCs w:val="22"/>
          <w:highlight w:val="yellow"/>
        </w:rPr>
        <w:t xml:space="preserve">84 400 (</w:t>
      </w:r>
      <w:r>
        <w:rPr>
          <w:rFonts w:ascii="Times New Roman" w:hAnsi="Times New Roman" w:eastAsia="Times New Roman" w:cs="Times New Roman"/>
          <w:bCs/>
          <w:sz w:val="22"/>
          <w:szCs w:val="22"/>
          <w:highlight w:val="yellow"/>
        </w:rPr>
        <w:t xml:space="preserve">восемь</w:t>
      </w:r>
      <w:r>
        <w:rPr>
          <w:rFonts w:ascii="Times New Roman" w:hAnsi="Times New Roman" w:eastAsia="Times New Roman" w:cs="Times New Roman"/>
          <w:bCs/>
          <w:sz w:val="22"/>
          <w:szCs w:val="22"/>
          <w:highlight w:val="yellow"/>
        </w:rPr>
        <w:t xml:space="preserve">десят четыре тысячи четыреста)</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рублей 00 </w:t>
      </w:r>
      <w:r>
        <w:rPr>
          <w:rFonts w:ascii="Times New Roman" w:hAnsi="Times New Roman" w:eastAsia="Times New Roman" w:cs="Times New Roman"/>
          <w:bCs/>
          <w:sz w:val="22"/>
          <w:szCs w:val="22"/>
          <w:highlight w:val="yellow"/>
        </w:rPr>
        <w:t xml:space="preserve">коп, не облагается НДС (пп.26 </w:t>
      </w:r>
      <w:r>
        <w:rPr>
          <w:rFonts w:ascii="Times New Roman" w:hAnsi="Times New Roman" w:eastAsia="Times New Roman" w:cs="Times New Roman"/>
          <w:bCs/>
          <w:sz w:val="22"/>
          <w:szCs w:val="22"/>
          <w:highlight w:val="yellow"/>
        </w:rPr>
        <w:t xml:space="preserve">п.2 ст.149 НК РФ).</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p>
      <w:pPr>
        <w:pStyle w:val="978"/>
        <w:numPr>
          <w:ilvl w:val="1"/>
          <w:numId w:val="34"/>
        </w:numPr>
        <w:pBdr/>
        <w:spacing/>
        <w:ind/>
        <w:jc w:val="both"/>
        <w:rPr>
          <w:rFonts w:ascii="Times New Roman" w:hAnsi="Times New Roman" w:eastAsia="Calibri"/>
          <w:color w:val="000000"/>
          <w:sz w:val="22"/>
          <w:szCs w:val="22"/>
          <w:highlight w:val="yellow"/>
        </w:rPr>
      </w:pPr>
      <w:r>
        <w:rPr>
          <w:rFonts w:ascii="Times New Roman" w:hAnsi="Times New Roman" w:eastAsia="Times New Roman" w:cs="Times New Roman"/>
          <w:bCs/>
          <w:sz w:val="22"/>
          <w:szCs w:val="22"/>
          <w:highlight w:val="yellow"/>
        </w:rPr>
        <w:t xml:space="preserve">Стоимость </w:t>
      </w:r>
      <w:r>
        <w:rPr>
          <w:rFonts w:ascii="Times New Roman" w:hAnsi="Times New Roman" w:cs="Times New Roman"/>
          <w:b/>
          <w:sz w:val="22"/>
          <w:szCs w:val="22"/>
          <w:highlight w:val="yellow"/>
        </w:rPr>
        <w:t xml:space="preserve">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val="0"/>
          <w:bCs w:val="0"/>
          <w:sz w:val="22"/>
          <w:szCs w:val="22"/>
          <w:highlight w:val="yellow"/>
        </w:rPr>
        <w:t xml:space="preserve">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________ (___________________) рублей 00 копеек. </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eastAsia="Calibri"/>
          <w:color w:val="000000"/>
          <w:sz w:val="22"/>
          <w:szCs w:val="22"/>
          <w:highlight w:val="yellow"/>
        </w:rPr>
        <w:t xml:space="preserve">)</w:t>
      </w:r>
      <w:r>
        <w:rPr>
          <w:rFonts w:ascii="Times New Roman" w:hAnsi="Times New Roman" w:eastAsia="Calibri"/>
          <w:color w:val="000000"/>
          <w:sz w:val="22"/>
          <w:szCs w:val="22"/>
          <w:highlight w:val="yellow"/>
        </w:rPr>
      </w:r>
      <w:r>
        <w:rPr>
          <w:rFonts w:ascii="Times New Roman" w:hAnsi="Times New Roman" w:eastAsia="Calibri"/>
          <w:color w:val="000000"/>
          <w:sz w:val="22"/>
          <w:szCs w:val="22"/>
          <w:highlight w:val="yellow"/>
        </w:rPr>
      </w:r>
    </w:p>
    <w:p>
      <w:pPr>
        <w:pBdr/>
        <w:spacing/>
        <w:ind w:firstLine="0" w:left="360"/>
        <w:jc w:val="both"/>
        <w:rPr>
          <w:rFonts w:ascii="Times New Roman" w:hAnsi="Times New Roman" w:eastAsia="Calibri"/>
          <w:color w:val="000000"/>
          <w:sz w:val="22"/>
          <w:szCs w:val="22"/>
        </w:rPr>
      </w:pPr>
      <w:r>
        <w:rPr>
          <w:rFonts w:ascii="Times New Roman" w:hAnsi="Times New Roman" w:eastAsia="Calibri"/>
          <w:color w:val="000000"/>
          <w:sz w:val="22"/>
          <w:szCs w:val="22"/>
          <w:highlight w:val="none"/>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firstLine="0" w:left="360"/>
        <w:jc w:val="both"/>
        <w:rPr>
          <w:rFonts w:ascii="Times New Roman" w:hAnsi="Times New Roman" w:eastAsia="Calibri"/>
          <w:color w:val="000000"/>
          <w:sz w:val="22"/>
          <w:szCs w:val="22"/>
        </w:rPr>
      </w:pPr>
      <w:r>
        <w:rPr>
          <w:rFonts w:ascii="Times New Roman" w:hAnsi="Times New Roman"/>
          <w:b/>
          <w:bCs/>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8"/>
        <w:pBdr/>
        <w:spacing/>
        <w:ind w:left="792"/>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W w:w="9345" w:type="dxa"/>
        <w:tblBorders/>
        <w:tblLayout w:type="fixed"/>
        <w:tblLook w:val="04A0" w:firstRow="1" w:lastRow="0" w:firstColumn="1" w:lastColumn="0" w:noHBand="0" w:noVBand="1"/>
        <w:tblStyle w:val="980"/>
      </w:tblPr>
      <w:tblGrid>
        <w:gridCol w:w="986"/>
        <w:gridCol w:w="2128"/>
        <w:gridCol w:w="1138"/>
        <w:gridCol w:w="420"/>
        <w:gridCol w:w="992"/>
        <w:gridCol w:w="1344"/>
        <w:gridCol w:w="780"/>
        <w:gridCol w:w="1557"/>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4"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7"/>
        <w:pBdr/>
        <w:spacing/>
        <w:ind/>
        <w:jc w:val="both"/>
        <w:rPr>
          <w:sz w:val="22"/>
          <w:szCs w:val="22"/>
        </w:rPr>
      </w:pPr>
      <w:r>
        <w:rPr>
          <w:sz w:val="22"/>
          <w:szCs w:val="22"/>
        </w:rPr>
      </w:r>
      <w:r>
        <w:rPr>
          <w:sz w:val="22"/>
          <w:szCs w:val="22"/>
        </w:rPr>
      </w:r>
      <w:r>
        <w:rPr>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№2</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7"/>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80"/>
      </w:tblPr>
      <w:tblGrid>
        <w:gridCol w:w="567"/>
        <w:gridCol w:w="3401"/>
        <w:gridCol w:w="1276"/>
        <w:gridCol w:w="1417"/>
        <w:gridCol w:w="1417"/>
        <w:gridCol w:w="1276"/>
      </w:tblGrid>
      <w:tr>
        <w:trPr/>
        <w:tc>
          <w:tcPr>
            <w:tcBorders/>
            <w:tcW w:w="56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401"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421"/>
        </w:trPr>
        <w:tc>
          <w:tcPr>
            <w:tcBorders/>
            <w:tcW w:w="56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1</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401" w:type="dxa"/>
            <w:textDirection w:val="lrTb"/>
            <w:noWrap w:val="false"/>
          </w:tcPr>
          <w:p>
            <w:pPr>
              <w:pStyle w:val="981"/>
              <w:pBdr/>
              <w:spacing/>
              <w:ind/>
              <w:rPr>
                <w:b w:val="0"/>
                <w:bCs w:val="0"/>
                <w:sz w:val="22"/>
                <w:szCs w:val="22"/>
                <w:highlight w:val="yellow"/>
              </w:rPr>
            </w:pP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t xml:space="preserve">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val="0"/>
                <w:bCs w:val="0"/>
                <w:sz w:val="22"/>
                <w:szCs w:val="22"/>
                <w:highlight w:val="yellow"/>
              </w:rPr>
              <w:t xml:space="preserve">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w:t>
            </w:r>
            <w:r>
              <w:rPr>
                <w:b w:val="0"/>
                <w:bCs w:val="0"/>
                <w:sz w:val="22"/>
                <w:szCs w:val="22"/>
                <w:highlight w:val="yellow"/>
              </w:rPr>
            </w:r>
            <w:r>
              <w:rPr>
                <w:b w:val="0"/>
                <w:bCs w:val="0"/>
                <w:sz w:val="22"/>
                <w:szCs w:val="22"/>
                <w:highlight w:val="yellow"/>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_______  </w:t>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83"/>
        </w:trPr>
        <w:tc>
          <w:tcPr>
            <w:tcBorders/>
            <w:tcW w:w="567"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3401" w:type="dxa"/>
            <w:vMerge w:val="restart"/>
            <w:textDirection w:val="lrTb"/>
            <w:noWrap w:val="false"/>
          </w:tcPr>
          <w:p>
            <w:pPr>
              <w:pStyle w:val="981"/>
              <w:pBdr/>
              <w:spacing/>
              <w:ind/>
              <w:rPr>
                <w:b w:val="0"/>
                <w:bCs w:val="0"/>
                <w:sz w:val="22"/>
                <w:szCs w:val="22"/>
                <w:highlight w:val="yellow"/>
              </w:rPr>
            </w:pPr>
            <w:r>
              <w:rPr>
                <w:rFonts w:ascii="Times New Roman" w:hAnsi="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включая предоставление доступа к их получению, сроком на 12 мес. Тариф Базовый.</w:t>
            </w:r>
            <w:r>
              <w:rPr>
                <w:b w:val="0"/>
                <w:bCs w:val="0"/>
                <w:sz w:val="22"/>
                <w:szCs w:val="22"/>
                <w:highlight w:val="yellow"/>
              </w:rPr>
            </w:r>
            <w:r>
              <w:rPr>
                <w:b w:val="0"/>
                <w:bCs w:val="0"/>
                <w:sz w:val="22"/>
                <w:szCs w:val="22"/>
                <w:highlight w:val="yellow"/>
              </w:rP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417"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417"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84 400 </w:t>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r>
      <w:tr>
        <w:trPr>
          <w:trHeight w:val="1407"/>
        </w:trPr>
        <w:tc>
          <w:tcPr>
            <w:tcBorders/>
            <w:tcW w:w="567"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401" w:type="dxa"/>
            <w:vMerge w:val="restart"/>
            <w:textDirection w:val="lrTb"/>
            <w:noWrap w:val="false"/>
          </w:tcPr>
          <w:p>
            <w:pPr>
              <w:pStyle w:val="957"/>
              <w:pBdr/>
              <w:tabs>
                <w:tab w:val="left" w:leader="none" w:pos="993"/>
              </w:tabs>
              <w:spacing/>
              <w:ind/>
              <w:jc w:val="both"/>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t xml:space="preserve">Информационно-консультационное обслуживание программного продукта «Конфигурация для учреждений ФСИН» </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час</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2 520</w:t>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sz w:val="22"/>
                <w:szCs w:val="22"/>
                <w:highlight w:val="none"/>
              </w:rPr>
            </w: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7"/>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0"/>
        </w:trPr>
        <w:tc>
          <w:tcPr>
            <w:tcBorders/>
            <w:tcW w:w="4928" w:type="dxa"/>
            <w:textDirection w:val="lrTb"/>
            <w:noWrap w:val="false"/>
          </w:tcPr>
          <w:p>
            <w:pPr>
              <w:pStyle w:val="982"/>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82"/>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82"/>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Verdana">
    <w:panose1 w:val="020B060403050404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1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2">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25">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2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7">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4"/>
  </w:num>
  <w:num w:numId="2">
    <w:abstractNumId w:val="35"/>
  </w:num>
  <w:num w:numId="3">
    <w:abstractNumId w:val="1"/>
  </w:num>
  <w:num w:numId="4">
    <w:abstractNumId w:val="8"/>
  </w:num>
  <w:num w:numId="5">
    <w:abstractNumId w:val="20"/>
  </w:num>
  <w:num w:numId="6">
    <w:abstractNumId w:val="15"/>
  </w:num>
  <w:num w:numId="7">
    <w:abstractNumId w:val="34"/>
  </w:num>
  <w:num w:numId="8">
    <w:abstractNumId w:val="27"/>
  </w:num>
  <w:num w:numId="9">
    <w:abstractNumId w:val="5"/>
  </w:num>
  <w:num w:numId="10">
    <w:abstractNumId w:val="6"/>
  </w:num>
  <w:num w:numId="11">
    <w:abstractNumId w:val="24"/>
  </w:num>
  <w:num w:numId="12">
    <w:abstractNumId w:val="19"/>
  </w:num>
  <w:num w:numId="13">
    <w:abstractNumId w:val="28"/>
  </w:num>
  <w:num w:numId="14">
    <w:abstractNumId w:val="16"/>
  </w:num>
  <w:num w:numId="15">
    <w:abstractNumId w:val="14"/>
  </w:num>
  <w:num w:numId="16">
    <w:abstractNumId w:val="11"/>
  </w:num>
  <w:num w:numId="17">
    <w:abstractNumId w:val="2"/>
  </w:num>
  <w:num w:numId="18">
    <w:abstractNumId w:val="30"/>
  </w:num>
  <w:num w:numId="19">
    <w:abstractNumId w:val="29"/>
  </w:num>
  <w:num w:numId="20">
    <w:abstractNumId w:val="33"/>
  </w:num>
  <w:num w:numId="21">
    <w:abstractNumId w:val="21"/>
  </w:num>
  <w:num w:numId="22">
    <w:abstractNumId w:val="32"/>
  </w:num>
  <w:num w:numId="23">
    <w:abstractNumId w:val="23"/>
  </w:num>
  <w:num w:numId="24">
    <w:abstractNumId w:val="18"/>
  </w:num>
  <w:num w:numId="25">
    <w:abstractNumId w:val="17"/>
  </w:num>
  <w:num w:numId="26">
    <w:abstractNumId w:val="0"/>
  </w:num>
  <w:num w:numId="27">
    <w:abstractNumId w:val="31"/>
  </w:num>
  <w:num w:numId="28">
    <w:abstractNumId w:val="10"/>
  </w:num>
  <w:num w:numId="29">
    <w:abstractNumId w:val="13"/>
  </w:num>
  <w:num w:numId="30">
    <w:abstractNumId w:val="12"/>
  </w:num>
  <w:num w:numId="31">
    <w:abstractNumId w:val="22"/>
  </w:num>
  <w:num w:numId="32">
    <w:abstractNumId w:val="25"/>
  </w:num>
  <w:num w:numId="33">
    <w:abstractNumId w:val="3"/>
  </w:num>
  <w:num w:numId="34">
    <w:abstractNumId w:val="26"/>
  </w:num>
  <w:num w:numId="35">
    <w:abstractNumId w:val="7"/>
  </w:num>
  <w:num w:numId="36">
    <w:abstractNumId w:val="9"/>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7">
    <w:name w:val="Table Grid Light"/>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1"/>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Plain Table 2"/>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Plain Table 3"/>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Plain Table 4"/>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Plain Table 5"/>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w:basedOn w:val="9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1"/>
    <w:basedOn w:val="9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2"/>
    <w:basedOn w:val="9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1 Light - Accent 3"/>
    <w:basedOn w:val="9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 Accent 4"/>
    <w:basedOn w:val="9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1 Light - Accent 5"/>
    <w:basedOn w:val="9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1 Light - Accent 6"/>
    <w:basedOn w:val="9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w:basedOn w:val="9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1"/>
    <w:basedOn w:val="9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2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2 - Accent 5"/>
    <w:basedOn w:val="9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2 - Accent 6"/>
    <w:basedOn w:val="9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w:basedOn w:val="9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1"/>
    <w:basedOn w:val="9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3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3 - Accent 5"/>
    <w:basedOn w:val="9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3 - Accent 6"/>
    <w:basedOn w:val="9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w:basedOn w:val="9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1"/>
    <w:basedOn w:val="9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2"/>
    <w:basedOn w:val="9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4 - Accent 3"/>
    <w:basedOn w:val="9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 Accent 4"/>
    <w:basedOn w:val="9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4 - Accent 5"/>
    <w:basedOn w:val="9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4 - Accent 6"/>
    <w:basedOn w:val="9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Accent 1"/>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 Accent 2"/>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5 Dark - Accent 3"/>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Accent 4"/>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5 Dark - Accent 5"/>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5 Dark - Accent 6"/>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6 Colorful"/>
    <w:basedOn w:val="9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9">
    <w:name w:val="Grid Table 6 Colorful - Accent 1"/>
    <w:basedOn w:val="9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0">
    <w:name w:val="Grid Table 6 Colorful - Accent 2"/>
    <w:basedOn w:val="9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21">
    <w:name w:val="Grid Table 6 Colorful - Accent 3"/>
    <w:basedOn w:val="9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2">
    <w:name w:val="Grid Table 6 Colorful - Accent 4"/>
    <w:basedOn w:val="9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3">
    <w:name w:val="Grid Table 6 Colorful - Accent 5"/>
    <w:basedOn w:val="9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4">
    <w:name w:val="Grid Table 6 Colorful - Accent 6"/>
    <w:basedOn w:val="9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5">
    <w:name w:val="Grid Table 7 Colorful"/>
    <w:basedOn w:val="9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1"/>
    <w:basedOn w:val="9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7 Colorful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7 Colorful - Accent 5"/>
    <w:basedOn w:val="9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7 Colorful - Accent 6"/>
    <w:basedOn w:val="9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1"/>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2"/>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1 Light - Accent 3"/>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 Accent 4"/>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1 Light - Accent 5"/>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1 Light - Accent 6"/>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w:basedOn w:val="9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1"/>
    <w:basedOn w:val="9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2"/>
    <w:basedOn w:val="9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2 - Accent 3"/>
    <w:basedOn w:val="9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 Accent 4"/>
    <w:basedOn w:val="9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2 - Accent 5"/>
    <w:basedOn w:val="9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2 - Accent 6"/>
    <w:basedOn w:val="9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w:basedOn w:val="9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1"/>
    <w:basedOn w:val="9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2"/>
    <w:basedOn w:val="9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3 - Accent 3"/>
    <w:basedOn w:val="9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 Accent 4"/>
    <w:basedOn w:val="9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3 - Accent 5"/>
    <w:basedOn w:val="9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3 - Accent 6"/>
    <w:basedOn w:val="9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w:basedOn w:val="9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1"/>
    <w:basedOn w:val="9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2"/>
    <w:basedOn w:val="9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4 - Accent 3"/>
    <w:basedOn w:val="9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 Accent 4"/>
    <w:basedOn w:val="9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4 - Accent 5"/>
    <w:basedOn w:val="9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4 - Accent 6"/>
    <w:basedOn w:val="9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5 Dark"/>
    <w:basedOn w:val="9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1"/>
    <w:basedOn w:val="9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2"/>
    <w:basedOn w:val="9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5 Dark - Accent 3"/>
    <w:basedOn w:val="9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4">
    <w:name w:val="List Table 5 Dark - Accent 4"/>
    <w:basedOn w:val="9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5 Dark - Accent 5"/>
    <w:basedOn w:val="9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6">
    <w:name w:val="List Table 5 Dark - Accent 6"/>
    <w:basedOn w:val="9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7">
    <w:name w:val="List Table 6 Colorful"/>
    <w:basedOn w:val="9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1"/>
    <w:basedOn w:val="9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2"/>
    <w:basedOn w:val="9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6 Colorful - Accent 3"/>
    <w:basedOn w:val="9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 Accent 4"/>
    <w:basedOn w:val="9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6 Colorful - Accent 5"/>
    <w:basedOn w:val="9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6 Colorful - Accent 6"/>
    <w:basedOn w:val="9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7 Colorful"/>
    <w:basedOn w:val="9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5">
    <w:name w:val="List Table 7 Colorful - Accent 1"/>
    <w:basedOn w:val="9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6">
    <w:name w:val="List Table 7 Colorful - Accent 2"/>
    <w:basedOn w:val="9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7">
    <w:name w:val="List Table 7 Colorful - Accent 3"/>
    <w:basedOn w:val="9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8">
    <w:name w:val="List Table 7 Colorful - Accent 4"/>
    <w:basedOn w:val="9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9">
    <w:name w:val="List Table 7 Colorful - Accent 5"/>
    <w:basedOn w:val="9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80">
    <w:name w:val="List Table 7 Colorful - Accent 6"/>
    <w:basedOn w:val="9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81">
    <w:name w:val="Lined - Accent"/>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1"/>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2"/>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ned - Accent 3"/>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ned - Accent 4"/>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ned - Accent 5"/>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ned - Accent 6"/>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w:basedOn w:val="9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1"/>
    <w:basedOn w:val="9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2"/>
    <w:basedOn w:val="9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amp; Lined - Accent 3"/>
    <w:basedOn w:val="9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4"/>
    <w:basedOn w:val="9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amp; Lined - Accent 5"/>
    <w:basedOn w:val="9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amp; Lined - Accent 6"/>
    <w:basedOn w:val="9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w:basedOn w:val="9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1"/>
    <w:basedOn w:val="9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2"/>
    <w:basedOn w:val="9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 Accent 3"/>
    <w:basedOn w:val="9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 Accent 4"/>
    <w:basedOn w:val="9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 Accent 5"/>
    <w:basedOn w:val="9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 Accent 6"/>
    <w:basedOn w:val="9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2">
    <w:name w:val="Heading 1"/>
    <w:basedOn w:val="957"/>
    <w:next w:val="957"/>
    <w:link w:val="90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3">
    <w:name w:val="Heading 2"/>
    <w:basedOn w:val="957"/>
    <w:next w:val="957"/>
    <w:link w:val="91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4">
    <w:name w:val="Heading 5"/>
    <w:basedOn w:val="957"/>
    <w:next w:val="957"/>
    <w:link w:val="91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5">
    <w:name w:val="Heading 6"/>
    <w:basedOn w:val="957"/>
    <w:next w:val="957"/>
    <w:link w:val="91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6">
    <w:name w:val="Heading 7"/>
    <w:basedOn w:val="957"/>
    <w:next w:val="957"/>
    <w:link w:val="91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7">
    <w:name w:val="Heading 8"/>
    <w:basedOn w:val="957"/>
    <w:next w:val="957"/>
    <w:link w:val="91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8">
    <w:name w:val="Heading 9"/>
    <w:basedOn w:val="957"/>
    <w:next w:val="957"/>
    <w:link w:val="91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9">
    <w:name w:val="Heading 1 Char"/>
    <w:basedOn w:val="960"/>
    <w:link w:val="902"/>
    <w:uiPriority w:val="9"/>
    <w:pPr>
      <w:pBdr/>
      <w:spacing/>
      <w:ind/>
    </w:pPr>
    <w:rPr>
      <w:rFonts w:ascii="Arial" w:hAnsi="Arial" w:eastAsia="Arial" w:cs="Arial"/>
      <w:color w:val="0f4761" w:themeColor="accent1" w:themeShade="BF"/>
      <w:sz w:val="40"/>
      <w:szCs w:val="40"/>
    </w:rPr>
  </w:style>
  <w:style w:type="character" w:styleId="910">
    <w:name w:val="Heading 2 Char"/>
    <w:basedOn w:val="960"/>
    <w:link w:val="903"/>
    <w:uiPriority w:val="9"/>
    <w:pPr>
      <w:pBdr/>
      <w:spacing/>
      <w:ind/>
    </w:pPr>
    <w:rPr>
      <w:rFonts w:ascii="Arial" w:hAnsi="Arial" w:eastAsia="Arial" w:cs="Arial"/>
      <w:color w:val="0f4761" w:themeColor="accent1" w:themeShade="BF"/>
      <w:sz w:val="32"/>
      <w:szCs w:val="32"/>
    </w:rPr>
  </w:style>
  <w:style w:type="character" w:styleId="911">
    <w:name w:val="Heading 3 Char"/>
    <w:basedOn w:val="960"/>
    <w:link w:val="958"/>
    <w:uiPriority w:val="9"/>
    <w:pPr>
      <w:pBdr/>
      <w:spacing/>
      <w:ind/>
    </w:pPr>
    <w:rPr>
      <w:rFonts w:ascii="Arial" w:hAnsi="Arial" w:eastAsia="Arial" w:cs="Arial"/>
      <w:color w:val="0f4761" w:themeColor="accent1" w:themeShade="BF"/>
      <w:sz w:val="28"/>
      <w:szCs w:val="28"/>
    </w:rPr>
  </w:style>
  <w:style w:type="character" w:styleId="912">
    <w:name w:val="Heading 4 Char"/>
    <w:basedOn w:val="960"/>
    <w:link w:val="959"/>
    <w:uiPriority w:val="9"/>
    <w:pPr>
      <w:pBdr/>
      <w:spacing/>
      <w:ind/>
    </w:pPr>
    <w:rPr>
      <w:rFonts w:ascii="Arial" w:hAnsi="Arial" w:eastAsia="Arial" w:cs="Arial"/>
      <w:i/>
      <w:iCs/>
      <w:color w:val="0f4761" w:themeColor="accent1" w:themeShade="BF"/>
    </w:rPr>
  </w:style>
  <w:style w:type="character" w:styleId="913">
    <w:name w:val="Heading 5 Char"/>
    <w:basedOn w:val="960"/>
    <w:link w:val="904"/>
    <w:uiPriority w:val="9"/>
    <w:pPr>
      <w:pBdr/>
      <w:spacing/>
      <w:ind/>
    </w:pPr>
    <w:rPr>
      <w:rFonts w:ascii="Arial" w:hAnsi="Arial" w:eastAsia="Arial" w:cs="Arial"/>
      <w:color w:val="0f4761" w:themeColor="accent1" w:themeShade="BF"/>
    </w:rPr>
  </w:style>
  <w:style w:type="character" w:styleId="914">
    <w:name w:val="Heading 6 Char"/>
    <w:basedOn w:val="960"/>
    <w:link w:val="905"/>
    <w:uiPriority w:val="9"/>
    <w:pPr>
      <w:pBdr/>
      <w:spacing/>
      <w:ind/>
    </w:pPr>
    <w:rPr>
      <w:rFonts w:ascii="Arial" w:hAnsi="Arial" w:eastAsia="Arial" w:cs="Arial"/>
      <w:i/>
      <w:iCs/>
      <w:color w:val="595959" w:themeColor="text1" w:themeTint="A6"/>
    </w:rPr>
  </w:style>
  <w:style w:type="character" w:styleId="915">
    <w:name w:val="Heading 7 Char"/>
    <w:basedOn w:val="960"/>
    <w:link w:val="906"/>
    <w:uiPriority w:val="9"/>
    <w:pPr>
      <w:pBdr/>
      <w:spacing/>
      <w:ind/>
    </w:pPr>
    <w:rPr>
      <w:rFonts w:ascii="Arial" w:hAnsi="Arial" w:eastAsia="Arial" w:cs="Arial"/>
      <w:color w:val="595959" w:themeColor="text1" w:themeTint="A6"/>
    </w:rPr>
  </w:style>
  <w:style w:type="character" w:styleId="916">
    <w:name w:val="Heading 8 Char"/>
    <w:basedOn w:val="960"/>
    <w:link w:val="907"/>
    <w:uiPriority w:val="9"/>
    <w:pPr>
      <w:pBdr/>
      <w:spacing/>
      <w:ind/>
    </w:pPr>
    <w:rPr>
      <w:rFonts w:ascii="Arial" w:hAnsi="Arial" w:eastAsia="Arial" w:cs="Arial"/>
      <w:i/>
      <w:iCs/>
      <w:color w:val="272727" w:themeColor="text1" w:themeTint="D8"/>
    </w:rPr>
  </w:style>
  <w:style w:type="character" w:styleId="917">
    <w:name w:val="Heading 9 Char"/>
    <w:basedOn w:val="960"/>
    <w:link w:val="908"/>
    <w:uiPriority w:val="9"/>
    <w:pPr>
      <w:pBdr/>
      <w:spacing/>
      <w:ind/>
    </w:pPr>
    <w:rPr>
      <w:rFonts w:ascii="Arial" w:hAnsi="Arial" w:eastAsia="Arial" w:cs="Arial"/>
      <w:i/>
      <w:iCs/>
      <w:color w:val="272727" w:themeColor="text1" w:themeTint="D8"/>
    </w:rPr>
  </w:style>
  <w:style w:type="character" w:styleId="918">
    <w:name w:val="Title Char"/>
    <w:basedOn w:val="960"/>
    <w:link w:val="969"/>
    <w:uiPriority w:val="10"/>
    <w:pPr>
      <w:pBdr/>
      <w:spacing/>
      <w:ind/>
    </w:pPr>
    <w:rPr>
      <w:rFonts w:ascii="Arial" w:hAnsi="Arial" w:eastAsia="Arial" w:cs="Arial"/>
      <w:spacing w:val="-10"/>
      <w:sz w:val="56"/>
      <w:szCs w:val="56"/>
    </w:rPr>
  </w:style>
  <w:style w:type="paragraph" w:styleId="919">
    <w:name w:val="Subtitle"/>
    <w:basedOn w:val="957"/>
    <w:next w:val="957"/>
    <w:link w:val="920"/>
    <w:uiPriority w:val="11"/>
    <w:qFormat/>
    <w:pPr>
      <w:numPr>
        <w:ilvl w:val="1"/>
      </w:numPr>
      <w:pBdr/>
      <w:spacing/>
      <w:ind/>
    </w:pPr>
    <w:rPr>
      <w:color w:val="595959" w:themeColor="text1" w:themeTint="A6"/>
      <w:spacing w:val="15"/>
      <w:sz w:val="28"/>
      <w:szCs w:val="28"/>
    </w:rPr>
  </w:style>
  <w:style w:type="character" w:styleId="920">
    <w:name w:val="Subtitle Char"/>
    <w:basedOn w:val="960"/>
    <w:link w:val="919"/>
    <w:uiPriority w:val="11"/>
    <w:pPr>
      <w:pBdr/>
      <w:spacing/>
      <w:ind/>
    </w:pPr>
    <w:rPr>
      <w:color w:val="595959" w:themeColor="text1" w:themeTint="A6"/>
      <w:spacing w:val="15"/>
      <w:sz w:val="28"/>
      <w:szCs w:val="28"/>
    </w:rPr>
  </w:style>
  <w:style w:type="paragraph" w:styleId="921">
    <w:name w:val="Quote"/>
    <w:basedOn w:val="957"/>
    <w:next w:val="957"/>
    <w:link w:val="922"/>
    <w:uiPriority w:val="29"/>
    <w:qFormat/>
    <w:pPr>
      <w:pBdr/>
      <w:spacing w:before="160"/>
      <w:ind/>
      <w:jc w:val="center"/>
    </w:pPr>
    <w:rPr>
      <w:i/>
      <w:iCs/>
      <w:color w:val="404040" w:themeColor="text1" w:themeTint="BF"/>
    </w:rPr>
  </w:style>
  <w:style w:type="character" w:styleId="922">
    <w:name w:val="Quote Char"/>
    <w:basedOn w:val="960"/>
    <w:link w:val="921"/>
    <w:uiPriority w:val="29"/>
    <w:pPr>
      <w:pBdr/>
      <w:spacing/>
      <w:ind/>
    </w:pPr>
    <w:rPr>
      <w:i/>
      <w:iCs/>
      <w:color w:val="404040" w:themeColor="text1" w:themeTint="BF"/>
    </w:rPr>
  </w:style>
  <w:style w:type="character" w:styleId="923">
    <w:name w:val="Intense Emphasis"/>
    <w:basedOn w:val="960"/>
    <w:uiPriority w:val="21"/>
    <w:qFormat/>
    <w:pPr>
      <w:pBdr/>
      <w:spacing/>
      <w:ind/>
    </w:pPr>
    <w:rPr>
      <w:i/>
      <w:iCs/>
      <w:color w:val="0f4761" w:themeColor="accent1" w:themeShade="BF"/>
    </w:rPr>
  </w:style>
  <w:style w:type="paragraph" w:styleId="924">
    <w:name w:val="Intense Quote"/>
    <w:basedOn w:val="957"/>
    <w:next w:val="957"/>
    <w:link w:val="92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5">
    <w:name w:val="Intense Quote Char"/>
    <w:basedOn w:val="960"/>
    <w:link w:val="924"/>
    <w:uiPriority w:val="30"/>
    <w:pPr>
      <w:pBdr/>
      <w:spacing/>
      <w:ind/>
    </w:pPr>
    <w:rPr>
      <w:i/>
      <w:iCs/>
      <w:color w:val="0f4761" w:themeColor="accent1" w:themeShade="BF"/>
    </w:rPr>
  </w:style>
  <w:style w:type="character" w:styleId="926">
    <w:name w:val="Intense Reference"/>
    <w:basedOn w:val="960"/>
    <w:uiPriority w:val="32"/>
    <w:qFormat/>
    <w:pPr>
      <w:pBdr/>
      <w:spacing/>
      <w:ind/>
    </w:pPr>
    <w:rPr>
      <w:b/>
      <w:bCs/>
      <w:smallCaps/>
      <w:color w:val="0f4761" w:themeColor="accent1" w:themeShade="BF"/>
      <w:spacing w:val="5"/>
    </w:rPr>
  </w:style>
  <w:style w:type="paragraph" w:styleId="927">
    <w:name w:val="No Spacing"/>
    <w:basedOn w:val="957"/>
    <w:uiPriority w:val="1"/>
    <w:qFormat/>
    <w:pPr>
      <w:pBdr/>
      <w:spacing w:after="0" w:line="240" w:lineRule="auto"/>
      <w:ind/>
    </w:pPr>
  </w:style>
  <w:style w:type="character" w:styleId="928">
    <w:name w:val="Subtle Emphasis"/>
    <w:basedOn w:val="960"/>
    <w:uiPriority w:val="19"/>
    <w:qFormat/>
    <w:pPr>
      <w:pBdr/>
      <w:spacing/>
      <w:ind/>
    </w:pPr>
    <w:rPr>
      <w:i/>
      <w:iCs/>
      <w:color w:val="404040" w:themeColor="text1" w:themeTint="BF"/>
    </w:rPr>
  </w:style>
  <w:style w:type="character" w:styleId="929">
    <w:name w:val="Emphasis"/>
    <w:basedOn w:val="960"/>
    <w:uiPriority w:val="20"/>
    <w:qFormat/>
    <w:pPr>
      <w:pBdr/>
      <w:spacing/>
      <w:ind/>
    </w:pPr>
    <w:rPr>
      <w:i/>
      <w:iCs/>
    </w:rPr>
  </w:style>
  <w:style w:type="character" w:styleId="930">
    <w:name w:val="Strong"/>
    <w:basedOn w:val="960"/>
    <w:uiPriority w:val="22"/>
    <w:qFormat/>
    <w:pPr>
      <w:pBdr/>
      <w:spacing/>
      <w:ind/>
    </w:pPr>
    <w:rPr>
      <w:b/>
      <w:bCs/>
    </w:rPr>
  </w:style>
  <w:style w:type="character" w:styleId="931">
    <w:name w:val="Subtle Reference"/>
    <w:basedOn w:val="960"/>
    <w:uiPriority w:val="31"/>
    <w:qFormat/>
    <w:pPr>
      <w:pBdr/>
      <w:spacing/>
      <w:ind/>
    </w:pPr>
    <w:rPr>
      <w:smallCaps/>
      <w:color w:val="5a5a5a" w:themeColor="text1" w:themeTint="A5"/>
    </w:rPr>
  </w:style>
  <w:style w:type="character" w:styleId="932">
    <w:name w:val="Book Title"/>
    <w:basedOn w:val="960"/>
    <w:uiPriority w:val="33"/>
    <w:qFormat/>
    <w:pPr>
      <w:pBdr/>
      <w:spacing/>
      <w:ind/>
    </w:pPr>
    <w:rPr>
      <w:b/>
      <w:bCs/>
      <w:i/>
      <w:iCs/>
      <w:spacing w:val="5"/>
    </w:rPr>
  </w:style>
  <w:style w:type="paragraph" w:styleId="933">
    <w:name w:val="Header"/>
    <w:basedOn w:val="957"/>
    <w:link w:val="934"/>
    <w:uiPriority w:val="99"/>
    <w:unhideWhenUsed/>
    <w:pPr>
      <w:pBdr/>
      <w:tabs>
        <w:tab w:val="center" w:leader="none" w:pos="4844"/>
        <w:tab w:val="right" w:leader="none" w:pos="9689"/>
      </w:tabs>
      <w:spacing w:after="0" w:line="240" w:lineRule="auto"/>
      <w:ind/>
    </w:pPr>
  </w:style>
  <w:style w:type="character" w:styleId="934">
    <w:name w:val="Header Char"/>
    <w:basedOn w:val="960"/>
    <w:link w:val="933"/>
    <w:uiPriority w:val="99"/>
    <w:pPr>
      <w:pBdr/>
      <w:spacing/>
      <w:ind/>
    </w:pPr>
  </w:style>
  <w:style w:type="paragraph" w:styleId="935">
    <w:name w:val="Footer"/>
    <w:basedOn w:val="957"/>
    <w:link w:val="936"/>
    <w:uiPriority w:val="99"/>
    <w:unhideWhenUsed/>
    <w:pPr>
      <w:pBdr/>
      <w:tabs>
        <w:tab w:val="center" w:leader="none" w:pos="4844"/>
        <w:tab w:val="right" w:leader="none" w:pos="9689"/>
      </w:tabs>
      <w:spacing w:after="0" w:line="240" w:lineRule="auto"/>
      <w:ind/>
    </w:pPr>
  </w:style>
  <w:style w:type="character" w:styleId="936">
    <w:name w:val="Footer Char"/>
    <w:basedOn w:val="960"/>
    <w:link w:val="935"/>
    <w:uiPriority w:val="99"/>
    <w:pPr>
      <w:pBdr/>
      <w:spacing/>
      <w:ind/>
    </w:pPr>
  </w:style>
  <w:style w:type="paragraph" w:styleId="937">
    <w:name w:val="footnote text"/>
    <w:basedOn w:val="957"/>
    <w:link w:val="938"/>
    <w:uiPriority w:val="99"/>
    <w:semiHidden/>
    <w:unhideWhenUsed/>
    <w:pPr>
      <w:pBdr/>
      <w:spacing w:after="0" w:line="240" w:lineRule="auto"/>
      <w:ind/>
    </w:pPr>
    <w:rPr>
      <w:sz w:val="20"/>
      <w:szCs w:val="20"/>
    </w:rPr>
  </w:style>
  <w:style w:type="character" w:styleId="938">
    <w:name w:val="Footnote Text Char"/>
    <w:basedOn w:val="960"/>
    <w:link w:val="937"/>
    <w:uiPriority w:val="99"/>
    <w:semiHidden/>
    <w:pPr>
      <w:pBdr/>
      <w:spacing/>
      <w:ind/>
    </w:pPr>
    <w:rPr>
      <w:sz w:val="20"/>
      <w:szCs w:val="20"/>
    </w:rPr>
  </w:style>
  <w:style w:type="character" w:styleId="939">
    <w:name w:val="footnote reference"/>
    <w:basedOn w:val="960"/>
    <w:uiPriority w:val="99"/>
    <w:semiHidden/>
    <w:unhideWhenUsed/>
    <w:pPr>
      <w:pBdr/>
      <w:spacing/>
      <w:ind/>
    </w:pPr>
    <w:rPr>
      <w:vertAlign w:val="superscript"/>
    </w:rPr>
  </w:style>
  <w:style w:type="paragraph" w:styleId="940">
    <w:name w:val="endnote text"/>
    <w:basedOn w:val="957"/>
    <w:link w:val="941"/>
    <w:uiPriority w:val="99"/>
    <w:semiHidden/>
    <w:unhideWhenUsed/>
    <w:pPr>
      <w:pBdr/>
      <w:spacing w:after="0" w:line="240" w:lineRule="auto"/>
      <w:ind/>
    </w:pPr>
    <w:rPr>
      <w:sz w:val="20"/>
      <w:szCs w:val="20"/>
    </w:rPr>
  </w:style>
  <w:style w:type="character" w:styleId="941">
    <w:name w:val="Endnote Text Char"/>
    <w:basedOn w:val="960"/>
    <w:link w:val="940"/>
    <w:uiPriority w:val="99"/>
    <w:semiHidden/>
    <w:pPr>
      <w:pBdr/>
      <w:spacing/>
      <w:ind/>
    </w:pPr>
    <w:rPr>
      <w:sz w:val="20"/>
      <w:szCs w:val="20"/>
    </w:rPr>
  </w:style>
  <w:style w:type="character" w:styleId="942">
    <w:name w:val="endnote reference"/>
    <w:basedOn w:val="960"/>
    <w:uiPriority w:val="99"/>
    <w:semiHidden/>
    <w:unhideWhenUsed/>
    <w:pPr>
      <w:pBdr/>
      <w:spacing/>
      <w:ind/>
    </w:pPr>
    <w:rPr>
      <w:vertAlign w:val="superscript"/>
    </w:rPr>
  </w:style>
  <w:style w:type="character" w:styleId="943">
    <w:name w:val="Hyperlink"/>
    <w:basedOn w:val="960"/>
    <w:uiPriority w:val="99"/>
    <w:unhideWhenUsed/>
    <w:pPr>
      <w:pBdr/>
      <w:spacing/>
      <w:ind/>
    </w:pPr>
    <w:rPr>
      <w:color w:val="0563c1" w:themeColor="hyperlink"/>
      <w:u w:val="single"/>
    </w:rPr>
  </w:style>
  <w:style w:type="character" w:styleId="944">
    <w:name w:val="FollowedHyperlink"/>
    <w:basedOn w:val="960"/>
    <w:uiPriority w:val="99"/>
    <w:semiHidden/>
    <w:unhideWhenUsed/>
    <w:pPr>
      <w:pBdr/>
      <w:spacing/>
      <w:ind/>
    </w:pPr>
    <w:rPr>
      <w:color w:val="954f72" w:themeColor="followedHyperlink"/>
      <w:u w:val="single"/>
    </w:rPr>
  </w:style>
  <w:style w:type="paragraph" w:styleId="945">
    <w:name w:val="toc 1"/>
    <w:basedOn w:val="957"/>
    <w:next w:val="957"/>
    <w:uiPriority w:val="39"/>
    <w:unhideWhenUsed/>
    <w:pPr>
      <w:pBdr/>
      <w:spacing w:after="100"/>
      <w:ind/>
    </w:pPr>
  </w:style>
  <w:style w:type="paragraph" w:styleId="946">
    <w:name w:val="toc 2"/>
    <w:basedOn w:val="957"/>
    <w:next w:val="957"/>
    <w:uiPriority w:val="39"/>
    <w:unhideWhenUsed/>
    <w:pPr>
      <w:pBdr/>
      <w:spacing w:after="100"/>
      <w:ind w:left="220"/>
    </w:pPr>
  </w:style>
  <w:style w:type="paragraph" w:styleId="947">
    <w:name w:val="toc 3"/>
    <w:basedOn w:val="957"/>
    <w:next w:val="957"/>
    <w:uiPriority w:val="39"/>
    <w:unhideWhenUsed/>
    <w:pPr>
      <w:pBdr/>
      <w:spacing w:after="100"/>
      <w:ind w:left="440"/>
    </w:pPr>
  </w:style>
  <w:style w:type="paragraph" w:styleId="948">
    <w:name w:val="toc 4"/>
    <w:basedOn w:val="957"/>
    <w:next w:val="957"/>
    <w:uiPriority w:val="39"/>
    <w:unhideWhenUsed/>
    <w:pPr>
      <w:pBdr/>
      <w:spacing w:after="100"/>
      <w:ind w:left="660"/>
    </w:pPr>
  </w:style>
  <w:style w:type="paragraph" w:styleId="949">
    <w:name w:val="toc 5"/>
    <w:basedOn w:val="957"/>
    <w:next w:val="957"/>
    <w:uiPriority w:val="39"/>
    <w:unhideWhenUsed/>
    <w:pPr>
      <w:pBdr/>
      <w:spacing w:after="100"/>
      <w:ind w:left="880"/>
    </w:pPr>
  </w:style>
  <w:style w:type="paragraph" w:styleId="950">
    <w:name w:val="toc 6"/>
    <w:basedOn w:val="957"/>
    <w:next w:val="957"/>
    <w:uiPriority w:val="39"/>
    <w:unhideWhenUsed/>
    <w:pPr>
      <w:pBdr/>
      <w:spacing w:after="100"/>
      <w:ind w:left="1100"/>
    </w:pPr>
  </w:style>
  <w:style w:type="paragraph" w:styleId="951">
    <w:name w:val="toc 7"/>
    <w:basedOn w:val="957"/>
    <w:next w:val="957"/>
    <w:uiPriority w:val="39"/>
    <w:unhideWhenUsed/>
    <w:pPr>
      <w:pBdr/>
      <w:spacing w:after="100"/>
      <w:ind w:left="1320"/>
    </w:pPr>
  </w:style>
  <w:style w:type="paragraph" w:styleId="952">
    <w:name w:val="toc 8"/>
    <w:basedOn w:val="957"/>
    <w:next w:val="957"/>
    <w:uiPriority w:val="39"/>
    <w:unhideWhenUsed/>
    <w:pPr>
      <w:pBdr/>
      <w:spacing w:after="100"/>
      <w:ind w:left="1540"/>
    </w:pPr>
  </w:style>
  <w:style w:type="paragraph" w:styleId="953">
    <w:name w:val="toc 9"/>
    <w:basedOn w:val="957"/>
    <w:next w:val="957"/>
    <w:uiPriority w:val="39"/>
    <w:unhideWhenUsed/>
    <w:pPr>
      <w:pBdr/>
      <w:spacing w:after="100"/>
      <w:ind w:left="1760"/>
    </w:pPr>
  </w:style>
  <w:style w:type="character" w:styleId="954">
    <w:name w:val="Placeholder Text"/>
    <w:basedOn w:val="960"/>
    <w:uiPriority w:val="99"/>
    <w:semiHidden/>
    <w:pPr>
      <w:pBdr/>
      <w:spacing/>
      <w:ind/>
    </w:pPr>
    <w:rPr>
      <w:color w:val="666666"/>
    </w:rPr>
  </w:style>
  <w:style w:type="paragraph" w:styleId="955">
    <w:name w:val="TOC Heading"/>
    <w:uiPriority w:val="39"/>
    <w:unhideWhenUsed/>
    <w:pPr>
      <w:pBdr/>
      <w:spacing/>
      <w:ind/>
    </w:pPr>
  </w:style>
  <w:style w:type="paragraph" w:styleId="956">
    <w:name w:val="table of figures"/>
    <w:basedOn w:val="957"/>
    <w:next w:val="957"/>
    <w:uiPriority w:val="99"/>
    <w:unhideWhenUsed/>
    <w:pPr>
      <w:pBdr/>
      <w:spacing w:after="0" w:afterAutospacing="0"/>
      <w:ind/>
    </w:pPr>
  </w:style>
  <w:style w:type="paragraph" w:styleId="957" w:default="1">
    <w:name w:val="Normal"/>
    <w:qFormat/>
    <w:pPr>
      <w:widowControl w:val="false"/>
      <w:pBdr/>
      <w:spacing/>
      <w:ind/>
    </w:pPr>
    <w:rPr>
      <w:rFonts w:ascii="Arial" w:hAnsi="Arial" w:eastAsia="Lucida Sans Unicode" w:cs="Times New Roman"/>
      <w:sz w:val="24"/>
      <w:szCs w:val="24"/>
      <w:lang w:eastAsia="ar-SA"/>
    </w:rPr>
  </w:style>
  <w:style w:type="paragraph" w:styleId="958">
    <w:name w:val="Heading 3"/>
    <w:basedOn w:val="957"/>
    <w:next w:val="957"/>
    <w:link w:val="965"/>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59">
    <w:name w:val="Heading 4"/>
    <w:basedOn w:val="957"/>
    <w:next w:val="957"/>
    <w:link w:val="963"/>
    <w:semiHidden/>
    <w:unhideWhenUsed/>
    <w:qFormat/>
    <w:pPr>
      <w:keepNext w:val="true"/>
      <w:pBdr/>
      <w:tabs>
        <w:tab w:val="left" w:leader="none" w:pos="360"/>
      </w:tabs>
      <w:spacing w:after="60" w:before="240"/>
      <w:ind/>
      <w:outlineLvl w:val="3"/>
    </w:pPr>
    <w:rPr>
      <w:b/>
      <w:bCs/>
      <w:sz w:val="28"/>
      <w:szCs w:val="28"/>
    </w:rPr>
  </w:style>
  <w:style w:type="character" w:styleId="960" w:default="1">
    <w:name w:val="Default Paragraph Font"/>
    <w:uiPriority w:val="1"/>
    <w:semiHidden/>
    <w:unhideWhenUsed/>
    <w:pPr>
      <w:pBdr/>
      <w:spacing/>
      <w:ind/>
    </w:pPr>
  </w:style>
  <w:style w:type="table" w:styleId="96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2" w:default="1">
    <w:name w:val="No List"/>
    <w:uiPriority w:val="99"/>
    <w:semiHidden/>
    <w:unhideWhenUsed/>
    <w:pPr>
      <w:pBdr/>
      <w:spacing/>
      <w:ind/>
    </w:pPr>
  </w:style>
  <w:style w:type="character" w:styleId="963" w:customStyle="1">
    <w:name w:val="Заголовок 4 Знак"/>
    <w:basedOn w:val="960"/>
    <w:link w:val="959"/>
    <w:semiHidden/>
    <w:qFormat/>
    <w:pPr>
      <w:pBdr/>
      <w:spacing/>
      <w:ind/>
    </w:pPr>
    <w:rPr>
      <w:rFonts w:ascii="Arial" w:hAnsi="Arial" w:eastAsia="Lucida Sans Unicode" w:cs="Times New Roman"/>
      <w:b/>
      <w:bCs/>
      <w:sz w:val="28"/>
      <w:szCs w:val="28"/>
      <w:lang w:eastAsia="ar-SA"/>
    </w:rPr>
  </w:style>
  <w:style w:type="character" w:styleId="964" w:customStyle="1">
    <w:name w:val="Основной текст с отступом Знак"/>
    <w:basedOn w:val="960"/>
    <w:semiHidden/>
    <w:qFormat/>
    <w:pPr>
      <w:pBdr/>
      <w:spacing/>
      <w:ind/>
    </w:pPr>
    <w:rPr>
      <w:rFonts w:ascii="Arial" w:hAnsi="Arial" w:eastAsia="Lucida Sans Unicode" w:cs="Times New Roman"/>
      <w:sz w:val="24"/>
      <w:szCs w:val="24"/>
      <w:lang w:eastAsia="ar-SA"/>
    </w:rPr>
  </w:style>
  <w:style w:type="character" w:styleId="965" w:customStyle="1">
    <w:name w:val="Заголовок 3 Знак"/>
    <w:basedOn w:val="960"/>
    <w:link w:val="958"/>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6" w:customStyle="1">
    <w:name w:val="Интернет-ссылка"/>
    <w:basedOn w:val="960"/>
    <w:uiPriority w:val="99"/>
    <w:semiHidden/>
    <w:unhideWhenUsed/>
    <w:pPr>
      <w:pBdr/>
      <w:spacing/>
      <w:ind/>
    </w:pPr>
    <w:rPr>
      <w:color w:val="0000ff"/>
      <w:u w:val="single"/>
    </w:rPr>
  </w:style>
  <w:style w:type="character" w:styleId="967" w:customStyle="1">
    <w:name w:val="Основной шрифт абзаца2"/>
    <w:qFormat/>
    <w:pPr>
      <w:pBdr/>
      <w:spacing/>
      <w:ind/>
    </w:pPr>
  </w:style>
  <w:style w:type="character" w:styleId="968" w:customStyle="1">
    <w:name w:val="Основной шрифт абзаца1"/>
    <w:qFormat/>
    <w:pPr>
      <w:pBdr/>
      <w:spacing/>
      <w:ind/>
    </w:pPr>
  </w:style>
  <w:style w:type="paragraph" w:styleId="969">
    <w:name w:val="Title"/>
    <w:basedOn w:val="957"/>
    <w:next w:val="970"/>
    <w:qFormat/>
    <w:pPr>
      <w:keepNext w:val="true"/>
      <w:pBdr/>
      <w:spacing w:after="120" w:before="240"/>
      <w:ind/>
    </w:pPr>
    <w:rPr>
      <w:rFonts w:ascii="Liberation Sans" w:hAnsi="Liberation Sans" w:eastAsia="Microsoft YaHei" w:cs="Arial"/>
      <w:sz w:val="28"/>
      <w:szCs w:val="28"/>
    </w:rPr>
  </w:style>
  <w:style w:type="paragraph" w:styleId="970">
    <w:name w:val="Body Text"/>
    <w:basedOn w:val="957"/>
    <w:pPr>
      <w:pBdr/>
      <w:spacing w:after="140" w:line="276" w:lineRule="auto"/>
      <w:ind/>
    </w:pPr>
  </w:style>
  <w:style w:type="paragraph" w:styleId="971">
    <w:name w:val="List"/>
    <w:basedOn w:val="970"/>
    <w:pPr>
      <w:pBdr/>
      <w:spacing/>
      <w:ind/>
    </w:pPr>
    <w:rPr>
      <w:rFonts w:cs="Arial"/>
    </w:rPr>
  </w:style>
  <w:style w:type="paragraph" w:styleId="972">
    <w:name w:val="Caption"/>
    <w:basedOn w:val="957"/>
    <w:qFormat/>
    <w:pPr>
      <w:suppressLineNumbers w:val="true"/>
      <w:pBdr/>
      <w:spacing w:after="120" w:before="120"/>
      <w:ind/>
    </w:pPr>
    <w:rPr>
      <w:rFonts w:cs="Arial"/>
      <w:i/>
      <w:iCs/>
    </w:rPr>
  </w:style>
  <w:style w:type="paragraph" w:styleId="973">
    <w:name w:val="index heading"/>
    <w:basedOn w:val="957"/>
    <w:qFormat/>
    <w:pPr>
      <w:suppressLineNumbers w:val="true"/>
      <w:pBdr/>
      <w:spacing/>
      <w:ind/>
    </w:pPr>
    <w:rPr>
      <w:rFonts w:cs="Arial"/>
    </w:rPr>
  </w:style>
  <w:style w:type="paragraph" w:styleId="974">
    <w:name w:val="Normal (Web)"/>
    <w:basedOn w:val="957"/>
    <w:uiPriority w:val="99"/>
    <w:semiHidden/>
    <w:unhideWhenUsed/>
    <w:qFormat/>
    <w:pPr>
      <w:pBdr/>
      <w:spacing w:after="280" w:before="280"/>
      <w:ind/>
    </w:pPr>
  </w:style>
  <w:style w:type="paragraph" w:styleId="975">
    <w:name w:val="Body Text Indent"/>
    <w:basedOn w:val="957"/>
    <w:semiHidden/>
    <w:unhideWhenUsed/>
    <w:pPr>
      <w:pBdr/>
      <w:spacing w:after="120"/>
      <w:ind w:left="283"/>
    </w:pPr>
  </w:style>
  <w:style w:type="paragraph" w:styleId="976" w:customStyle="1">
    <w:name w:val="Текст в заданном формате"/>
    <w:basedOn w:val="957"/>
    <w:qFormat/>
    <w:pPr>
      <w:pBdr/>
      <w:spacing/>
      <w:ind/>
    </w:pPr>
    <w:rPr>
      <w:rFonts w:ascii="Courier New" w:hAnsi="Courier New" w:eastAsia="Courier New" w:cs="Courier New"/>
      <w:sz w:val="20"/>
      <w:szCs w:val="20"/>
    </w:rPr>
  </w:style>
  <w:style w:type="paragraph" w:styleId="977"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78">
    <w:name w:val="List Paragraph"/>
    <w:basedOn w:val="957"/>
    <w:uiPriority w:val="34"/>
    <w:qFormat/>
    <w:pPr>
      <w:pBdr/>
      <w:spacing/>
      <w:ind w:left="720"/>
      <w:contextualSpacing w:val="true"/>
    </w:pPr>
  </w:style>
  <w:style w:type="numbering" w:styleId="979" w:customStyle="1">
    <w:name w:val="Стиль2"/>
    <w:uiPriority w:val="99"/>
    <w:qFormat/>
    <w:pPr>
      <w:pBdr/>
      <w:spacing/>
      <w:ind/>
    </w:pPr>
  </w:style>
  <w:style w:type="table" w:styleId="980">
    <w:name w:val="Table Grid"/>
    <w:basedOn w:val="961"/>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1"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82"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DEB9-9DE1-450D-B82D-0F4A6CE3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10</cp:revision>
  <dcterms:created xsi:type="dcterms:W3CDTF">2022-06-08T11:43:00Z</dcterms:created>
  <dcterms:modified xsi:type="dcterms:W3CDTF">2026-01-21T06:19:12Z</dcterms:modified>
</cp:coreProperties>
</file>