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sz w:val="24"/>
        </w:rPr>
      </w:pPr>
      <w:r>
        <w:drawing>
          <wp:inline>
            <wp:extent cx="1402080" cy="140208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1402080" cy="140208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spacing w:after="269" w:before="269"/>
        <w:ind w:firstLine="0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YLE Starters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(Cambridge English: Young Learners English — Starters) — это начальный экзамен по английскому языку для детей, разработанный Кембриджским университетом. Он создан специально для юных учеников и помогает мягко познакомить их с форматом тестирования, не вызывая стресса.</w:t>
      </w:r>
    </w:p>
    <w:p w14:paraId="03000000">
      <w:pPr>
        <w:spacing w:after="270" w:before="270"/>
        <w:ind w:firstLine="0" w:left="0" w:righ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Для кого и какой уровень</w:t>
      </w:r>
    </w:p>
    <w:p w14:paraId="04000000">
      <w:pPr>
        <w:numPr>
          <w:ilvl w:val="0"/>
          <w:numId w:val="1"/>
        </w:numPr>
        <w:spacing w:after="269" w:before="269"/>
        <w:ind w:firstLine="0" w:left="60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Возраст:</w:t>
      </w:r>
      <w:r>
        <w:rPr>
          <w:rFonts w:ascii="Times New Roman" w:hAnsi="Times New Roman"/>
          <w:sz w:val="24"/>
        </w:rPr>
        <w:t xml:space="preserve"> обычно подходит детям примерно 6–7 лет, но сдавать можно в любом возрасте — главное, чтобы уровень языка соответствовал.</w:t>
      </w:r>
    </w:p>
    <w:p w14:paraId="05000000">
      <w:pPr>
        <w:numPr>
          <w:ilvl w:val="0"/>
          <w:numId w:val="1"/>
        </w:numPr>
        <w:spacing w:after="269" w:before="269"/>
        <w:ind w:firstLine="0" w:left="60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Уровень владения языком:</w:t>
      </w:r>
      <w:r>
        <w:rPr>
          <w:rFonts w:ascii="Times New Roman" w:hAnsi="Times New Roman"/>
          <w:sz w:val="24"/>
        </w:rPr>
        <w:t xml:space="preserve"> чуть ниже A1 по шкале CEFR (то есть самый старт, «Beginner»). Ребёнок должен уметь понимать простые фразы, узнавать базовые слова и отвечать на несложные вопросы о себе.</w:t>
      </w:r>
    </w:p>
    <w:p w14:paraId="06000000">
      <w:pPr>
        <w:spacing w:after="270" w:before="270"/>
        <w:ind w:firstLine="0" w:left="0" w:righ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Из чего состоит экзамен</w:t>
      </w:r>
    </w:p>
    <w:p w14:paraId="07000000">
      <w:pPr>
        <w:spacing w:after="269" w:before="269"/>
        <w:ind w:firstLine="0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Экзамен длится примерно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45 минут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 делится на три части:</w:t>
      </w:r>
    </w:p>
    <w:p w14:paraId="08000000">
      <w:pPr>
        <w:numPr>
          <w:ilvl w:val="0"/>
          <w:numId w:val="2"/>
        </w:numPr>
        <w:spacing w:after="269" w:before="269"/>
        <w:ind w:firstLine="0" w:left="60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Listening (аудирование)</w:t>
      </w:r>
      <w:r>
        <w:rPr>
          <w:rFonts w:ascii="Times New Roman" w:hAnsi="Times New Roman"/>
          <w:sz w:val="24"/>
        </w:rPr>
        <w:t> — около 20 минут, 4 части, 20 вопросов.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Ребёнок слушает короткие аудиозаписи и выполняет задания: например, соединяет слова с картинками, раскрашивает по инструкции, выбирает нужную картинку. Каждую запись включают дважды.</w:t>
      </w:r>
    </w:p>
    <w:p w14:paraId="09000000">
      <w:pPr>
        <w:numPr>
          <w:ilvl w:val="0"/>
          <w:numId w:val="2"/>
        </w:numPr>
        <w:spacing w:after="269" w:before="269"/>
        <w:ind w:firstLine="0" w:left="60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Reading and Writing (чтение и письмо)</w:t>
      </w:r>
      <w:r>
        <w:rPr>
          <w:rFonts w:ascii="Times New Roman" w:hAnsi="Times New Roman"/>
          <w:sz w:val="24"/>
        </w:rPr>
        <w:t> — 20 минут, 5 частей, 25 вопросов.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Сюда входят задания на сопоставление, вставку пропущенных букв, определение «верно/неверно» по коротким текстам, простые упражнения на правописание. Всё строится вокруг понятных детям тем.</w:t>
      </w:r>
    </w:p>
    <w:p w14:paraId="0A000000">
      <w:pPr>
        <w:numPr>
          <w:ilvl w:val="0"/>
          <w:numId w:val="2"/>
        </w:numPr>
        <w:spacing w:after="269" w:before="269"/>
        <w:ind w:firstLine="0" w:left="60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Speaking (говорение)</w:t>
      </w:r>
      <w:r>
        <w:rPr>
          <w:rFonts w:ascii="Times New Roman" w:hAnsi="Times New Roman"/>
          <w:sz w:val="24"/>
        </w:rPr>
        <w:t> — 3–5 минут, разговор один на один с экзаменатором.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Формат дружелюбный и игровой: ребёнок называет предметы на картинках, отвечает на простые вопросы («Как тебя зовут?», «Сколько тебе лет?», «Что ты любишь?»), выполняет короткие инструкции.</w:t>
      </w:r>
    </w:p>
    <w:p w14:paraId="0B000000">
      <w:pPr>
        <w:spacing w:after="270" w:before="270"/>
        <w:ind w:firstLine="0" w:left="0" w:righ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Темы и лексика</w:t>
      </w:r>
    </w:p>
    <w:p w14:paraId="0C000000">
      <w:pPr>
        <w:spacing w:after="269" w:before="269"/>
        <w:ind w:firstLine="0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экзамене встречаются повседневные темы, знакомые детям:</w:t>
      </w:r>
    </w:p>
    <w:p w14:paraId="0D000000">
      <w:pPr>
        <w:numPr>
          <w:ilvl w:val="0"/>
          <w:numId w:val="3"/>
        </w:numPr>
        <w:spacing w:after="269" w:before="269"/>
        <w:ind w:firstLine="0" w:left="60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семья и друзья;</w:t>
      </w:r>
    </w:p>
    <w:p w14:paraId="0E000000">
      <w:pPr>
        <w:numPr>
          <w:ilvl w:val="0"/>
          <w:numId w:val="3"/>
        </w:numPr>
        <w:spacing w:after="269" w:before="269"/>
        <w:ind w:firstLine="0" w:left="60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животные;</w:t>
      </w:r>
    </w:p>
    <w:p w14:paraId="0F000000">
      <w:pPr>
        <w:numPr>
          <w:ilvl w:val="0"/>
          <w:numId w:val="3"/>
        </w:numPr>
        <w:spacing w:after="269" w:before="269"/>
        <w:ind w:firstLine="0" w:left="60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школа и школьные предметы;</w:t>
      </w:r>
    </w:p>
    <w:p w14:paraId="10000000">
      <w:pPr>
        <w:numPr>
          <w:ilvl w:val="0"/>
          <w:numId w:val="3"/>
        </w:numPr>
        <w:spacing w:after="269" w:before="269"/>
        <w:ind w:firstLine="0" w:left="60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дом и комнаты;</w:t>
      </w:r>
    </w:p>
    <w:p w14:paraId="11000000">
      <w:pPr>
        <w:spacing w:after="269" w:before="269"/>
        <w:ind w:firstLine="0" w:left="600" w:right="0"/>
        <w:rPr>
          <w:rFonts w:ascii="Times New Roman" w:hAnsi="Times New Roman"/>
          <w:sz w:val="24"/>
        </w:rPr>
      </w:pPr>
    </w:p>
    <w:p w14:paraId="12000000">
      <w:pPr>
        <w:spacing w:after="269" w:before="269"/>
        <w:ind w:firstLine="0" w:left="600" w:right="0"/>
        <w:rPr>
          <w:rFonts w:ascii="Times New Roman" w:hAnsi="Times New Roman"/>
          <w:sz w:val="24"/>
        </w:rPr>
      </w:pPr>
    </w:p>
    <w:p w14:paraId="13000000">
      <w:pPr>
        <w:numPr>
          <w:ilvl w:val="0"/>
          <w:numId w:val="3"/>
        </w:numPr>
        <w:spacing w:after="269" w:before="269"/>
        <w:ind w:firstLine="0" w:left="60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еда и напитки;</w:t>
      </w:r>
    </w:p>
    <w:p w14:paraId="14000000">
      <w:pPr>
        <w:numPr>
          <w:ilvl w:val="0"/>
          <w:numId w:val="3"/>
        </w:numPr>
        <w:spacing w:after="269" w:before="269"/>
        <w:ind w:firstLine="0" w:left="60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одежда;</w:t>
      </w:r>
    </w:p>
    <w:p w14:paraId="15000000">
      <w:pPr>
        <w:numPr>
          <w:ilvl w:val="0"/>
          <w:numId w:val="3"/>
        </w:numPr>
        <w:spacing w:after="269" w:before="269"/>
        <w:ind w:firstLine="0" w:left="60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цвета;</w:t>
      </w:r>
    </w:p>
    <w:p w14:paraId="16000000">
      <w:pPr>
        <w:numPr>
          <w:ilvl w:val="0"/>
          <w:numId w:val="3"/>
        </w:numPr>
        <w:spacing w:after="269" w:before="269"/>
        <w:ind w:firstLine="0" w:left="60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счёт до 20;</w:t>
      </w:r>
    </w:p>
    <w:p w14:paraId="17000000">
      <w:pPr>
        <w:numPr>
          <w:ilvl w:val="0"/>
          <w:numId w:val="3"/>
        </w:numPr>
        <w:spacing w:after="269" w:before="269"/>
        <w:ind w:firstLine="0" w:left="60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простые действия и глаголы (run, jump, eat, sleep и т. п.).</w:t>
      </w:r>
    </w:p>
    <w:p w14:paraId="18000000">
      <w:pPr>
        <w:spacing w:after="270" w:before="270"/>
        <w:ind w:firstLine="0" w:left="0" w:righ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Особенности и результаты</w:t>
      </w:r>
    </w:p>
    <w:p w14:paraId="19000000">
      <w:pPr>
        <w:numPr>
          <w:ilvl w:val="0"/>
          <w:numId w:val="4"/>
        </w:numPr>
        <w:spacing w:after="269" w:before="269"/>
        <w:ind w:firstLine="0" w:left="60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Нет понятия «не сдал».</w:t>
      </w:r>
      <w:r>
        <w:rPr>
          <w:rFonts w:ascii="Times New Roman" w:hAnsi="Times New Roman"/>
          <w:sz w:val="24"/>
        </w:rPr>
        <w:t xml:space="preserve"> Каждый участник получает сертификат с «щитами» (от 1 до 5 за каждую часть) — это показывает сильные стороны и прогресс.</w:t>
      </w:r>
    </w:p>
    <w:p w14:paraId="1A000000">
      <w:pPr>
        <w:numPr>
          <w:ilvl w:val="0"/>
          <w:numId w:val="4"/>
        </w:numPr>
        <w:spacing w:after="269" w:before="269"/>
        <w:ind w:firstLine="0" w:left="60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Формат мотивирует.</w:t>
      </w:r>
      <w:r>
        <w:rPr>
          <w:rFonts w:ascii="Times New Roman" w:hAnsi="Times New Roman"/>
          <w:sz w:val="24"/>
        </w:rPr>
        <w:t xml:space="preserve"> Задания подаются в виде картинок и простых действий, чтобы ребёнок чувствовал себя уверенно.</w:t>
      </w:r>
    </w:p>
    <w:p w14:paraId="1B000000">
      <w:pPr>
        <w:numPr>
          <w:ilvl w:val="0"/>
          <w:numId w:val="4"/>
        </w:numPr>
        <w:spacing w:after="269" w:before="269"/>
        <w:ind w:firstLine="0" w:left="60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Сертификат бессрочный.</w:t>
      </w:r>
      <w:r>
        <w:rPr>
          <w:rFonts w:ascii="Times New Roman" w:hAnsi="Times New Roman"/>
          <w:sz w:val="24"/>
        </w:rPr>
        <w:t xml:space="preserve"> Он признаётся во многих странах как подтверждение начального уровня английского.</w:t>
      </w:r>
    </w:p>
    <w:p w14:paraId="1C000000">
      <w:pPr>
        <w:spacing w:after="270" w:before="270"/>
        <w:ind w:firstLine="0" w:left="0" w:righ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Как готовиться</w:t>
      </w:r>
    </w:p>
    <w:p w14:paraId="1D000000">
      <w:pPr>
        <w:spacing w:after="269" w:before="269"/>
        <w:ind w:firstLine="0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подготовки хорошо работают:</w:t>
      </w:r>
    </w:p>
    <w:p w14:paraId="1E000000">
      <w:pPr>
        <w:numPr>
          <w:ilvl w:val="0"/>
          <w:numId w:val="5"/>
        </w:numPr>
        <w:spacing w:after="269" w:before="269"/>
        <w:ind w:firstLine="0" w:left="60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Учебники серии Cambridge Kid’s Box</w:t>
      </w:r>
      <w:r>
        <w:rPr>
          <w:rFonts w:ascii="Times New Roman" w:hAnsi="Times New Roman"/>
          <w:sz w:val="24"/>
        </w:rPr>
        <w:t> — они построены по логике, близкой к формату YLE.</w:t>
      </w:r>
    </w:p>
    <w:p w14:paraId="1F000000">
      <w:pPr>
        <w:numPr>
          <w:ilvl w:val="0"/>
          <w:numId w:val="5"/>
        </w:numPr>
        <w:spacing w:after="269" w:before="269"/>
        <w:ind w:firstLine="0" w:left="60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Пробные тесты</w:t>
      </w:r>
      <w:r>
        <w:rPr>
          <w:rFonts w:ascii="Times New Roman" w:hAnsi="Times New Roman"/>
          <w:sz w:val="24"/>
        </w:rPr>
        <w:t xml:space="preserve"> (sample papers) с официального сайта Cambridge English — они помогают привыкнуть к типам заданий.</w:t>
      </w:r>
    </w:p>
    <w:p w14:paraId="20000000">
      <w:pPr>
        <w:numPr>
          <w:ilvl w:val="0"/>
          <w:numId w:val="5"/>
        </w:numPr>
        <w:spacing w:after="269" w:before="269"/>
        <w:ind w:firstLine="0" w:left="60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Регулярная практика аудирования</w:t>
      </w:r>
      <w:r>
        <w:rPr>
          <w:rFonts w:ascii="Times New Roman" w:hAnsi="Times New Roman"/>
          <w:sz w:val="24"/>
        </w:rPr>
        <w:t>: короткие диалоги и инструкции на английском, детские песенки и видео.</w:t>
      </w:r>
    </w:p>
    <w:p w14:paraId="21000000">
      <w:pPr>
        <w:numPr>
          <w:ilvl w:val="0"/>
          <w:numId w:val="5"/>
        </w:numPr>
        <w:spacing w:after="269" w:before="269"/>
        <w:ind w:firstLine="0" w:left="60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Игровая отработка лексики</w:t>
      </w:r>
      <w:r>
        <w:rPr>
          <w:rFonts w:ascii="Times New Roman" w:hAnsi="Times New Roman"/>
          <w:sz w:val="24"/>
        </w:rPr>
        <w:t>: карточки, лото, игры на запоминание слов по темам.</w:t>
      </w:r>
    </w:p>
    <w:p w14:paraId="22000000">
      <w:pPr>
        <w:ind/>
        <w:jc w:val="left"/>
        <w:rPr>
          <w:rFonts w:ascii="Times New Roman" w:hAnsi="Times New Roman"/>
          <w:b w:val="1"/>
          <w:sz w:val="24"/>
        </w:rPr>
      </w:pPr>
    </w:p>
    <w:sectPr>
      <w:pgSz w:h="16838" w:orient="portrait" w:w="11906"/>
      <w:pgMar w:bottom="0" w:footer="709" w:gutter="0" w:header="709" w:left="964" w:right="737" w:top="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2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3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4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  <w:style w:styleId="Style_22" w:type="table">
    <w:name w:val="Table Grid"/>
    <w:basedOn w:val="Style_23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4" w:type="table">
    <w:name w:val="Light Grid Accent 5"/>
    <w:basedOn w:val="Style_23"/>
    <w:pPr>
      <w:spacing w:after="0" w:line="240" w:lineRule="auto"/>
      <w:ind/>
    </w:pPr>
    <w:tblPr>
      <w:tblInd w:type="dxa" w:w="0"/>
      <w:tblBorders>
        <w:top w:sz="8" w:themeColor="accent5" w:val="single"/>
        <w:left w:sz="8" w:themeColor="accent5" w:val="single"/>
        <w:bottom w:sz="8" w:themeColor="accent5" w:val="single"/>
        <w:right w:sz="8" w:themeColor="accent5" w:val="single"/>
        <w:insideH w:sz="8" w:themeColor="accent5" w:val="single"/>
        <w:insideV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" w:type="table">
    <w:name w:val="Medium List 2 Accent 6"/>
    <w:basedOn w:val="Style_23"/>
    <w:pPr>
      <w:spacing w:after="0" w:line="240" w:lineRule="auto"/>
      <w:ind/>
    </w:pPr>
    <w:rPr>
      <w:rFonts w:asciiTheme="majorAscii" w:hAnsiTheme="majorHAnsi"/>
      <w:color w:themeColor="text1" w:val="000000"/>
    </w:rPr>
    <w:tblPr>
      <w:tblInd w:type="dxa" w:w="0"/>
      <w:tblBorders>
        <w:top w:sz="8" w:themeColor="accent6" w:val="single"/>
        <w:left w:sz="8" w:themeColor="accent6" w:val="single"/>
        <w:bottom w:sz="8" w:themeColor="accent6" w:val="single"/>
        <w:right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6" w:type="table">
    <w:name w:val="Light Grid"/>
    <w:basedOn w:val="Style_23"/>
    <w:pPr>
      <w:spacing w:after="0" w:line="240" w:lineRule="auto"/>
      <w:ind/>
    </w:pPr>
    <w:tblPr>
      <w:tblInd w:type="dxa" w:w="0"/>
      <w:tblBorders>
        <w:top w:sz="8" w:themeColor="text1" w:val="single"/>
        <w:left w:sz="8" w:themeColor="text1" w:val="single"/>
        <w:bottom w:sz="8" w:themeColor="text1" w:val="single"/>
        <w:right w:sz="8" w:themeColor="text1" w:val="single"/>
        <w:insideH w:sz="8" w:themeColor="text1" w:val="single"/>
        <w:insideV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2026-09-22T17:00:21Z</dcterms:modified>
</cp:coreProperties>
</file>