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/>
      </w:pPr>
      <w:r>
        <w:rPr>
          <w:rFonts w:ascii="Arial" w:hAnsi="Arial"/>
          <w:b/>
          <w:color w:val="1B365D"/>
          <w:sz w:val="36"/>
        </w:rPr>
        <w:t>КОММЕРЧЕСКОЕ ПРЕДЛОЖЕНИЕ И ПРАЙС-ЛИСТ</w:t>
      </w:r>
    </w:p>
    <w:p>
      <w:pPr>
        <w:spacing w:after="60" w:line="264" w:lineRule="auto"/>
      </w:pPr>
      <w:r>
        <w:rPr>
          <w:b/>
          <w:color w:val="4A5568"/>
        </w:rPr>
        <w:t xml:space="preserve">Исполнитель: </w:t>
      </w:r>
      <w:r>
        <w:t>Эксперт по антикризисному управлению и банкротству в Уфе юрист Константин Катков</w:t>
      </w:r>
    </w:p>
    <w:p>
      <w:pPr>
        <w:spacing w:after="60" w:line="264" w:lineRule="auto"/>
      </w:pPr>
      <w:r>
        <w:rPr>
          <w:b/>
          <w:color w:val="4A5568"/>
        </w:rPr>
        <w:t xml:space="preserve">Контакты для связи: </w:t>
      </w:r>
      <w:r>
        <w:t>Тел. / Telegram / WhatsApp: +7 (987) 499-28-88</w:t>
      </w:r>
    </w:p>
    <w:p>
      <w:pPr>
        <w:spacing w:after="60" w:line="264" w:lineRule="auto"/>
      </w:pPr>
      <w:r>
        <w:rPr>
          <w:b/>
          <w:color w:val="4A5568"/>
        </w:rPr>
        <w:t xml:space="preserve">Email: </w:t>
      </w:r>
      <w:r>
        <w:t xml:space="preserve">katkovkm@qmail.com | </w:t>
      </w:r>
      <w:r>
        <w:rPr>
          <w:b/>
        </w:rPr>
        <w:t xml:space="preserve">Сайт/Профиль: </w:t>
      </w:r>
      <w:r>
        <w:t>каткоф.рф</w:t>
      </w:r>
    </w:p>
    <w:p>
      <w:pPr>
        <w:spacing w:after="60" w:line="264" w:lineRule="auto"/>
      </w:pPr>
      <w:r>
        <w:rPr>
          <w:b/>
          <w:color w:val="4A5568"/>
        </w:rPr>
        <w:t xml:space="preserve">Формат работы: </w:t>
      </w:r>
      <w:r>
        <w:t>Дистанционный (по всей РФ через ЭЦП, ВКС, Мой Арбитр)</w:t>
      </w:r>
    </w:p>
    <w:p>
      <w:pPr>
        <w:spacing w:before="240" w:after="320"/>
      </w:pPr>
      <w:r>
        <w:rPr>
          <w:i/>
          <w:color w:val="718096"/>
        </w:rPr>
        <w:t>Документ актуален на 2026 год. Цены сформированы на основе среднерыночных показателей для коммерческого сектора г. Уфы и применимы для дистанционного ведения проектов.</w:t>
      </w:r>
    </w:p>
    <w:p>
      <w:pPr>
        <w:spacing w:before="280" w:after="160"/>
      </w:pPr>
      <w:r>
        <w:rPr>
          <w:rFonts w:ascii="Arial" w:hAnsi="Arial"/>
          <w:b/>
          <w:color w:val="1B365D"/>
          <w:sz w:val="26"/>
        </w:rPr>
        <w:t>1. Комплексный прайс-лист на специализированные и разовые услуги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CCCCC"/>
          <w:bottom w:val="single" w:sz="4" w:space="0" w:color="CCCCCC"/>
          <w:left w:val="none"/>
          <w:right w:val="none"/>
          <w:insideH w:val="single" w:sz="4" w:space="0" w:color="E5E5E5"/>
          <w:insideV w:val="none"/>
        </w:tblBorders>
      </w:tblPr>
      <w:tblGrid>
        <w:gridCol w:w="3312"/>
        <w:gridCol w:w="3312"/>
        <w:gridCol w:w="3312"/>
      </w:tblGrid>
      <w:tr>
        <w:tc>
          <w:tcPr>
            <w:tcW w:type="dxa" w:w="6048"/>
            <w:shd w:fill="1B365D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9"/>
              </w:rPr>
              <w:t>Наименование юридической услуги</w:t>
            </w:r>
          </w:p>
        </w:tc>
        <w:tc>
          <w:tcPr>
            <w:tcW w:type="dxa" w:w="1872"/>
            <w:shd w:fill="1B365D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9"/>
              </w:rPr>
              <w:t>Фиксированная ставка (₽)</w:t>
            </w:r>
          </w:p>
        </w:tc>
        <w:tc>
          <w:tcPr>
            <w:tcW w:type="dxa" w:w="2160"/>
            <w:shd w:fill="1B365D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9"/>
              </w:rPr>
              <w:t>Гонорар успеха (Success Fee)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Консультации, аудит и аналитика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Устная консультация (экспресс-анализ ситуации, до 1 часа, онлайн)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Письменное юридическое заключение по конкретному правовому вопросу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15 000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Комплексный предбанкротный экспресс-аудит (анализ сделок за 3 года, выявление рисков КДЛ)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70 000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Развернутый аудит бизнес-процессов на предмет правовых и налоговых рисков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60 000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Правовая экспертиза (due diligence) одного контрагента или актива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Правовой анализ отдельной крупной сделки на предмет оспоримости в банкротстве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20 000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Разработка индивидуальной правовой стратегии антикризисного управления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50 000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Почасовая ставка (Time &amp; Material) для нестандартных задач и аналитики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5 000 / час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Разработка документов и сопровождение сделок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Разработка индивидуального договора или пакета документов под сделку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25 000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Подготовка комплексного искового заявления / отзыва (без ведения дела)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Участие в переговорах с кредиторами / госорганами (дистанционно, до 2 часов)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10 000 / вызов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Субсидиарная ответственность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Защита контролирующих должника лиц (КДЛ) от субсидиарной ответственности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100 000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 – 7% от защищенной суммы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Привлечение КДЛ к субсидиарной ответственности (на стороне кредитора/АС)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90 000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 – 10% от взысканной суммы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Сложные судебные и Корпоративные споры (1-я инстанция)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Корпоративные споры (исключение, права на доли, одобрение крупных сделок)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120 000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 – 10% от цены иска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Взыскание убытков с генерального директора / коллегиальных органов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90 000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 – 7%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Сложные коммерческие споры в Арбитражном суде (подряд, поставка, аренда)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80 000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 – 5%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Апелляционное производство (18-й ААС, г. Челябинск)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Анализ материалов дела и определение оснований для отмены решения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20 000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Составление мотивированной апелляционной жалобы / развернутого отзыва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45 000 / 35 000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Дистанционное участие в заседании 18-го ААС через систему онлайн-заседаний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15 000 / день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Комплексное ведение дела в апелляции «под ключ»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70 000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 – 5%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Кассационное производство (АС Уральского округа, г. Екатеринбург)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Анализ судебных актов двух инстанций на предмет нарушений норм права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25 000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Составление кассационной жалобы / подробного отзыва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55 000 / 40 000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Дистанционное участие в заседании АС Уральского округа (онлайн-формат)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20 000 / day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Комплексное ведение дела в кассации «под ключ»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90 000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5 – 7%</w:t>
            </w:r>
          </w:p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>
            <w:r>
              <w:rPr>
                <w:b/>
                <w:color w:val="1B365D"/>
                <w:sz w:val="20"/>
              </w:rPr>
              <w:t>Пакетное сопровождение и спецтарифы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  <w:shd w:fill="F2F4F8"/>
          </w:tcPr>
          <w:p/>
        </w:tc>
      </w:tr>
      <w:tr>
        <w:tc>
          <w:tcPr>
            <w:tcW w:type="dxa" w:w="604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Тариф «Защита бизнеса» (Ежемесячный абонемент, до 20 часов работы)</w:t>
            </w:r>
          </w:p>
        </w:tc>
        <w:tc>
          <w:tcPr>
            <w:tcW w:type="dxa" w:w="187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от 100 000 / мес.</w:t>
            </w:r>
          </w:p>
        </w:tc>
        <w:tc>
          <w:tcPr>
            <w:tcW w:type="dxa" w:w="216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—</w:t>
            </w:r>
          </w:p>
        </w:tc>
      </w:tr>
    </w:tbl>
    <w:p>
      <w:pPr>
        <w:spacing w:after="240"/>
      </w:pPr>
    </w:p>
    <w:p>
      <w:pPr>
        <w:spacing w:before="280" w:after="120"/>
      </w:pPr>
      <w:r>
        <w:rPr>
          <w:b/>
          <w:color w:val="1B365D"/>
          <w:sz w:val="22"/>
        </w:rPr>
        <w:t>Правила тарификации и важные оговорки:</w:t>
      </w:r>
    </w:p>
    <w:p>
      <w:pPr>
        <w:spacing w:after="80"/>
        <w:ind w:left="360"/>
      </w:pPr>
      <w:r>
        <w:rPr>
          <w:b/>
        </w:rPr>
        <w:t xml:space="preserve">1. </w:t>
      </w:r>
      <w:r>
        <w:t>Порядок оплаты: Все фиксированные ставки оплачиваются на условиях 100% предоплаты. Для крупных судебных процессов (первая инстанция, комплексное ведение апелляции/кассации) по согласованию сторон допускается разделение платежа: 50% аванс до начала работ, 50% в течение 3 рабочих дней после подачи документов в суд.</w:t>
      </w:r>
    </w:p>
    <w:p>
      <w:pPr>
        <w:spacing w:after="80"/>
        <w:ind w:left="360"/>
      </w:pPr>
      <w:r>
        <w:rPr>
          <w:b/>
        </w:rPr>
        <w:t xml:space="preserve">2. </w:t>
      </w:r>
      <w:r>
        <w:t>Дисклеймер по объему: Указанные цены являются базовыми. Окончательная стоимость услуг определяется индивидуально после экспресс-изучения документов и зависит от объема анализируемых материалов, количества томов судебного дела, числа оспариваемых сделок и количества привлекаемых КДЛ.</w:t>
      </w:r>
    </w:p>
    <w:p>
      <w:pPr>
        <w:spacing w:after="80"/>
        <w:ind w:left="360"/>
      </w:pPr>
      <w:r>
        <w:rPr>
          <w:b/>
        </w:rPr>
        <w:t xml:space="preserve">3. </w:t>
      </w:r>
      <w:r>
        <w:t>Командировочные расходы: В случае необходимости личного очного присутствия Юриста в судебных заседаниях за пределами г. Уфы (в т.ч. в Челябинске или Екатеринбурге), Заказчик дополнительно компенсирует расходы на проезд, проживание и суточные в размере не менее 15 000 ₽ за каждый день выезда.</w:t>
      </w:r>
    </w:p>
    <w:p>
      <w:pPr>
        <w:spacing w:after="280"/>
      </w:pPr>
    </w:p>
    <w:p>
      <w:pPr>
        <w:spacing w:before="320" w:after="160"/>
        <w:jc w:val="center"/>
      </w:pPr>
      <w:r>
        <w:rPr>
          <w:b/>
          <w:color w:val="1B365D"/>
          <w:sz w:val="26"/>
        </w:rPr>
        <w:t>ДОГОВОР-ОФЕРТА НА ОКАЗАНИЕ ЮРИДИЧЕСКИХ УСЛУГ</w:t>
      </w:r>
    </w:p>
    <w:p>
      <w:pPr>
        <w:spacing w:after="200"/>
      </w:pPr>
      <w:r>
        <w:t>Настоящий документ является официальным предложением (публичной офертой) Юриста, указанного в реквизитах, заключить договор на оказание юридических услуг по предбанкротному аудиту и разовых юридических услуг на нижеследующих условиях с любым юридическим лицом или индивидуальным предпринимателем.</w:t>
      </w:r>
    </w:p>
    <w:p>
      <w:pPr>
        <w:spacing w:before="160" w:after="80"/>
      </w:pPr>
      <w:r>
        <w:rPr>
          <w:b/>
          <w:color w:val="2D3748"/>
        </w:rPr>
        <w:t>1. Предмет договора</w:t>
      </w:r>
    </w:p>
    <w:p>
      <w:pPr>
        <w:spacing w:after="60"/>
        <w:ind w:left="360"/>
      </w:pPr>
      <w:r>
        <w:t>1.1. Исполнитель обязуется по заданию Заказчика оказать юридические услуги по дистанционному предбанкротному экспресс-аудиту деятельности Заказчика либо иные разовые юридические услуги, выбранные Заказчиком из действующего прайс-листа Исполнителя, а Заказчик обязуется оплатить эти услуги.</w:t>
      </w:r>
    </w:p>
    <w:p>
      <w:pPr>
        <w:spacing w:after="60"/>
        <w:ind w:left="360"/>
      </w:pPr>
      <w:r>
        <w:t>1.2. В рамках аудита Исполнитель осуществляет: анализ сделок Заказчика за последние 3 (три) года на предмет рисков их оспаривания по ст. 61.2 и 61.3 ФЗ «О банкротстве»; оценку рисков привлечения контролирующих должника лиц (КДЛ) к субсидиарной ответственности; составление итогового письменного отчета (правового заключения). В рамках иных разовых услуг объем обязательств определяется соответствующим заданием Заказчика.</w:t>
      </w:r>
    </w:p>
    <w:p>
      <w:pPr>
        <w:spacing w:before="160" w:after="80"/>
      </w:pPr>
      <w:r>
        <w:rPr>
          <w:b/>
          <w:color w:val="2D3748"/>
        </w:rPr>
        <w:t>2. Формат взаимодействия и порядок оказания услуг</w:t>
      </w:r>
    </w:p>
    <w:p>
      <w:pPr>
        <w:spacing w:after="60"/>
        <w:ind w:left="360"/>
      </w:pPr>
      <w:r>
        <w:t>2.1. Услуги оказываются полностью в дистанционном формате (по всей РФ через ЭЦП, ВКС, систему «Мой Арбитр»). Обмен документами осуществляется посредством электронной почты, мессенджеров или с использованием систем ЭЦП.</w:t>
      </w:r>
    </w:p>
    <w:p>
      <w:pPr>
        <w:spacing w:after="60"/>
        <w:ind w:left="360"/>
      </w:pPr>
      <w:r>
        <w:t>2.2. Заказчик обязуется предоставить Исполнителю полные и достоверные документы (бухгалтерский баланс, оборотно-сальдовые ведомости, копии крупных договоров, исходные данные для аналитики) в течение 3 рабочих дней с момента акцепта оферты.</w:t>
      </w:r>
    </w:p>
    <w:p>
      <w:pPr>
        <w:spacing w:after="60"/>
        <w:ind w:left="360"/>
      </w:pPr>
      <w:r>
        <w:t>2.3. Срок оказания услуг по комплексному аудиту составляет от 10 до 20 рабочих дней с момента предоставления Заказчиком полного пакета документов. Сроки оказания разовых услуг (консультации, подготовка исков, экспертиза сделок) согласовываются сторонами индивидуально.</w:t>
      </w:r>
    </w:p>
    <w:p>
      <w:pPr>
        <w:spacing w:before="160" w:after="80"/>
      </w:pPr>
      <w:r>
        <w:rPr>
          <w:b/>
          <w:color w:val="2D3748"/>
        </w:rPr>
        <w:t>3. Стоимость услуг и порядок расчетов</w:t>
      </w:r>
    </w:p>
    <w:p>
      <w:pPr>
        <w:spacing w:after="60"/>
        <w:ind w:left="360"/>
      </w:pPr>
      <w:r>
        <w:t>3.1. Стоимость дистанционного комплексного предбанкротного экспресс-аудита по настоящему Договору составляет 70 000 (семьдесят тысяч) рублей. Стоимость иных разовых и аналитических услуг определяется в соответствии с действующим прайс-листом (Раздел 1 настоящего документа).</w:t>
      </w:r>
    </w:p>
    <w:p>
      <w:pPr>
        <w:spacing w:after="60"/>
        <w:ind w:left="360"/>
      </w:pPr>
      <w:r>
        <w:t>3.2. Оплата услуг производится на условиях 100% предоплаты путем перечисления денежных средств на расчетный счет Исполнителя, если иной порядок не согласован сторонами отдельно.</w:t>
      </w:r>
    </w:p>
    <w:p>
      <w:pPr>
        <w:spacing w:before="160" w:after="80"/>
      </w:pPr>
      <w:r>
        <w:rPr>
          <w:b/>
          <w:color w:val="2D3748"/>
        </w:rPr>
        <w:t>4. Акцепт оферты и заключение договора</w:t>
      </w:r>
    </w:p>
    <w:p>
      <w:pPr>
        <w:spacing w:after="60"/>
        <w:ind w:left="360"/>
      </w:pPr>
      <w:r>
        <w:t>4.1. Настоящий договор считается заключенным (акцептованным) с момента совершения Заказчиком любого из следующих действий: полная или частичная оплата счета Исполнителя; направление Исполнителю письменного согласия (скан-копии) с условиями настоящей оферты.</w:t>
      </w:r>
    </w:p>
    <w:p>
      <w:pPr>
        <w:spacing w:before="160" w:after="80"/>
      </w:pPr>
      <w:r>
        <w:rPr>
          <w:b/>
          <w:color w:val="2D3748"/>
        </w:rPr>
        <w:t>5. Конфиденциальность</w:t>
      </w:r>
    </w:p>
    <w:p>
      <w:pPr>
        <w:spacing w:after="60"/>
        <w:ind w:left="360"/>
      </w:pPr>
      <w:r>
        <w:t>5.1. Стороны обязуются сохранять строгую конфиденциальность в отношении всей информации и документов, полученных в ходе исполнения настоящего договора. Обязательство действует бессрочно.</w:t>
      </w:r>
    </w:p>
    <w:p>
      <w:pPr>
        <w:spacing w:before="200" w:after="80"/>
      </w:pPr>
      <w:r>
        <w:rPr>
          <w:b/>
          <w:color w:val="2D3748"/>
        </w:rPr>
        <w:t>6. Реквизиты Исполнителя</w:t>
      </w:r>
    </w:p>
    <w:p>
      <w:pPr>
        <w:spacing w:after="40"/>
      </w:pPr>
      <w:r>
        <w:rPr>
          <w:b/>
        </w:rPr>
        <w:t>Юрист / Независимый консультант по антикризисному управлению в г. Уфе</w:t>
        <w:br/>
      </w:r>
      <w:r>
        <w:rPr>
          <w:b/>
        </w:rPr>
        <w:t>Константин Катков</w:t>
        <w:br/>
      </w:r>
      <w:r>
        <w:t>ИНН: [Укажите ваш ИНН] | ОГРНИП: [Укажите ваш ОГРНИП]</w:t>
        <w:br/>
        <w:t>Расчетный счет: [Ваш Р/С] в банке [Название банка]</w:t>
        <w:br/>
        <w:t>БИК: [Ваш БИК] | Корр. счет: [Ваш К/С]</w:t>
        <w:br/>
        <w:t xml:space="preserve">Контакты для направления документов: </w:t>
      </w:r>
      <w:r>
        <w:rPr>
          <w:u w:val="single"/>
        </w:rPr>
        <w:t>katkovkm@qmail.com</w:t>
      </w:r>
      <w:r>
        <w:t>, т. +7 (987) 499-28-88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80"/>
    </w:pPr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