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1179" w14:textId="7BEB7610" w:rsidR="00E16EC0" w:rsidRDefault="00326AC4" w:rsidP="00326AC4">
      <w:pPr>
        <w:spacing w:line="360" w:lineRule="auto"/>
        <w:ind w:firstLine="709"/>
        <w:jc w:val="both"/>
        <w:rPr>
          <w:rFonts w:eastAsiaTheme="minorHAnsi"/>
          <w:sz w:val="28"/>
          <w:szCs w:val="28"/>
          <w:lang w:val="ru-RU"/>
        </w:rPr>
      </w:pPr>
      <w:r w:rsidRPr="00326AC4">
        <w:rPr>
          <w:rFonts w:eastAsiaTheme="minorHAnsi"/>
          <w:sz w:val="28"/>
          <w:szCs w:val="28"/>
          <w:lang w:val="ru-RU"/>
        </w:rPr>
        <w:t>Кристина Сергеевна</w:t>
      </w:r>
      <w:r w:rsidR="00D1666D">
        <w:rPr>
          <w:rFonts w:eastAsiaTheme="minorHAnsi"/>
          <w:sz w:val="28"/>
          <w:szCs w:val="28"/>
          <w:lang w:val="ru-RU"/>
        </w:rPr>
        <w:t xml:space="preserve"> </w:t>
      </w:r>
      <w:r w:rsidR="00181908" w:rsidRPr="00326AC4">
        <w:rPr>
          <w:rFonts w:eastAsiaTheme="minorHAnsi"/>
          <w:sz w:val="28"/>
          <w:szCs w:val="28"/>
          <w:lang w:val="ru-RU"/>
        </w:rPr>
        <w:t>Бочарова</w:t>
      </w:r>
    </w:p>
    <w:p w14:paraId="329C9174" w14:textId="1AB05A15" w:rsidR="00E72B7B" w:rsidRPr="00AA4EBC" w:rsidRDefault="000D2350">
      <w:pPr>
        <w:spacing w:line="360" w:lineRule="auto"/>
        <w:ind w:firstLine="709"/>
        <w:jc w:val="both"/>
        <w:rPr>
          <w:rFonts w:eastAsiaTheme="minorHAnsi"/>
          <w:i/>
          <w:iCs/>
          <w:sz w:val="28"/>
          <w:szCs w:val="28"/>
          <w:lang w:val="ru-RU"/>
        </w:rPr>
      </w:pPr>
      <w:r>
        <w:rPr>
          <w:rFonts w:eastAsiaTheme="minorHAnsi"/>
          <w:i/>
          <w:iCs/>
          <w:sz w:val="28"/>
          <w:szCs w:val="28"/>
          <w:lang w:val="ru-RU"/>
        </w:rPr>
        <w:t>Южный федеральный университет</w:t>
      </w:r>
      <w:r w:rsidR="00DF2CF4">
        <w:rPr>
          <w:rFonts w:eastAsiaTheme="minorHAnsi"/>
          <w:i/>
          <w:iCs/>
          <w:sz w:val="28"/>
          <w:szCs w:val="28"/>
          <w:lang w:val="ru-RU"/>
        </w:rPr>
        <w:t xml:space="preserve"> </w:t>
      </w:r>
      <w:r w:rsidR="00DF2CF4" w:rsidRPr="00DF2CF4">
        <w:rPr>
          <w:rFonts w:eastAsiaTheme="minorHAnsi"/>
          <w:i/>
          <w:iCs/>
          <w:sz w:val="28"/>
          <w:szCs w:val="28"/>
          <w:lang w:val="ru-RU"/>
        </w:rPr>
        <w:t>(Ростов-на-Дону)</w:t>
      </w:r>
    </w:p>
    <w:p w14:paraId="60037B0D" w14:textId="3FF23C0B" w:rsidR="007E3F41" w:rsidRPr="001B5CD5" w:rsidRDefault="00D9271C" w:rsidP="007E3F41">
      <w:pPr>
        <w:spacing w:line="360" w:lineRule="auto"/>
        <w:ind w:firstLine="709"/>
        <w:rPr>
          <w:rFonts w:eastAsiaTheme="minorHAnsi"/>
          <w:sz w:val="28"/>
          <w:szCs w:val="28"/>
          <w:lang w:val="ru-RU"/>
        </w:rPr>
      </w:pPr>
      <w:r w:rsidRPr="00326AC4">
        <w:rPr>
          <w:sz w:val="28"/>
          <w:szCs w:val="28"/>
        </w:rPr>
        <w:t>bocharovak</w:t>
      </w:r>
      <w:r w:rsidRPr="001B5CD5">
        <w:rPr>
          <w:sz w:val="28"/>
          <w:szCs w:val="28"/>
          <w:lang w:val="ru-RU"/>
        </w:rPr>
        <w:t>27@</w:t>
      </w:r>
      <w:r w:rsidRPr="00326AC4">
        <w:rPr>
          <w:sz w:val="28"/>
          <w:szCs w:val="28"/>
        </w:rPr>
        <w:t>yandex</w:t>
      </w:r>
      <w:r w:rsidRPr="001B5CD5">
        <w:rPr>
          <w:sz w:val="28"/>
          <w:szCs w:val="28"/>
          <w:lang w:val="ru-RU"/>
        </w:rPr>
        <w:t>.</w:t>
      </w:r>
      <w:r w:rsidRPr="00326AC4">
        <w:rPr>
          <w:sz w:val="28"/>
          <w:szCs w:val="28"/>
        </w:rPr>
        <w:t>ru</w:t>
      </w:r>
    </w:p>
    <w:p w14:paraId="5CD58552" w14:textId="77777777" w:rsidR="00FC264D" w:rsidRPr="0034766E" w:rsidRDefault="00FC264D" w:rsidP="0034766E">
      <w:pPr>
        <w:spacing w:line="360" w:lineRule="auto"/>
        <w:ind w:firstLine="709"/>
        <w:rPr>
          <w:rFonts w:eastAsiaTheme="minorHAnsi"/>
          <w:sz w:val="28"/>
          <w:szCs w:val="28"/>
          <w:lang w:val="ru-RU"/>
        </w:rPr>
      </w:pPr>
    </w:p>
    <w:p w14:paraId="66FE5A05" w14:textId="2463264F" w:rsidR="00E72B7B" w:rsidRPr="00204824" w:rsidRDefault="00273B83" w:rsidP="00FC264D">
      <w:pPr>
        <w:spacing w:line="360" w:lineRule="auto"/>
        <w:jc w:val="center"/>
        <w:rPr>
          <w:rFonts w:eastAsiaTheme="minorHAnsi"/>
          <w:b/>
          <w:bCs/>
          <w:sz w:val="28"/>
          <w:szCs w:val="28"/>
          <w:lang w:val="ru-RU"/>
        </w:rPr>
      </w:pPr>
      <w:r w:rsidRPr="00273B83">
        <w:rPr>
          <w:rFonts w:eastAsiaTheme="minorHAnsi"/>
          <w:b/>
          <w:bCs/>
          <w:sz w:val="28"/>
          <w:szCs w:val="28"/>
          <w:lang w:val="ru-RU"/>
        </w:rPr>
        <w:t xml:space="preserve">Мультимедийный спецпроект как гибрид жанров в цифровой журналистике </w:t>
      </w:r>
      <w:r w:rsidR="00DF2CF4">
        <w:rPr>
          <w:rFonts w:eastAsiaTheme="minorHAnsi"/>
          <w:b/>
          <w:bCs/>
          <w:sz w:val="28"/>
          <w:szCs w:val="28"/>
          <w:lang w:val="ru-RU"/>
        </w:rPr>
        <w:t>(</w:t>
      </w:r>
      <w:r w:rsidRPr="00273B83">
        <w:rPr>
          <w:rFonts w:eastAsiaTheme="minorHAnsi"/>
          <w:b/>
          <w:bCs/>
          <w:sz w:val="28"/>
          <w:szCs w:val="28"/>
          <w:lang w:val="ru-RU"/>
        </w:rPr>
        <w:t xml:space="preserve">на примере </w:t>
      </w:r>
      <w:bookmarkStart w:id="0" w:name="_Hlk213606492"/>
      <w:r w:rsidR="0023504D" w:rsidRPr="0023504D">
        <w:rPr>
          <w:rFonts w:eastAsiaTheme="minorHAnsi"/>
          <w:b/>
          <w:bCs/>
          <w:sz w:val="28"/>
          <w:szCs w:val="28"/>
          <w:lang w:val="ru-RU"/>
        </w:rPr>
        <w:t>‘</w:t>
      </w:r>
      <w:r w:rsidRPr="00273B83">
        <w:rPr>
          <w:rFonts w:eastAsiaTheme="minorHAnsi"/>
          <w:b/>
          <w:bCs/>
          <w:sz w:val="28"/>
          <w:szCs w:val="28"/>
          <w:lang w:val="ru-RU"/>
        </w:rPr>
        <w:t>The Guardian</w:t>
      </w:r>
      <w:r w:rsidR="0023504D" w:rsidRPr="0023504D">
        <w:rPr>
          <w:rFonts w:eastAsiaTheme="minorHAnsi"/>
          <w:b/>
          <w:bCs/>
          <w:sz w:val="28"/>
          <w:szCs w:val="28"/>
          <w:lang w:val="ru-RU"/>
        </w:rPr>
        <w:t>”</w:t>
      </w:r>
      <w:bookmarkEnd w:id="0"/>
      <w:r w:rsidRPr="00273B83">
        <w:rPr>
          <w:rFonts w:eastAsiaTheme="minorHAnsi"/>
          <w:b/>
          <w:bCs/>
          <w:sz w:val="28"/>
          <w:szCs w:val="28"/>
          <w:lang w:val="ru-RU"/>
        </w:rPr>
        <w:t xml:space="preserve">, </w:t>
      </w:r>
      <w:bookmarkStart w:id="1" w:name="_Hlk213606527"/>
      <w:r w:rsidR="0023504D" w:rsidRPr="0023504D">
        <w:rPr>
          <w:rFonts w:eastAsiaTheme="minorHAnsi"/>
          <w:b/>
          <w:bCs/>
          <w:sz w:val="28"/>
          <w:szCs w:val="28"/>
          <w:lang w:val="ru-RU"/>
        </w:rPr>
        <w:t>“</w:t>
      </w:r>
      <w:r w:rsidRPr="00273B83">
        <w:rPr>
          <w:rFonts w:eastAsiaTheme="minorHAnsi"/>
          <w:b/>
          <w:bCs/>
          <w:sz w:val="28"/>
          <w:szCs w:val="28"/>
          <w:lang w:val="ru-RU"/>
        </w:rPr>
        <w:t>The New York Times</w:t>
      </w:r>
      <w:r w:rsidR="0023504D" w:rsidRPr="0023504D">
        <w:rPr>
          <w:rFonts w:eastAsiaTheme="minorHAnsi"/>
          <w:b/>
          <w:bCs/>
          <w:sz w:val="28"/>
          <w:szCs w:val="28"/>
          <w:lang w:val="ru-RU"/>
        </w:rPr>
        <w:t>”</w:t>
      </w:r>
      <w:bookmarkEnd w:id="1"/>
      <w:r w:rsidRPr="00273B83">
        <w:rPr>
          <w:rFonts w:eastAsiaTheme="minorHAnsi"/>
          <w:b/>
          <w:bCs/>
          <w:sz w:val="28"/>
          <w:szCs w:val="28"/>
          <w:lang w:val="ru-RU"/>
        </w:rPr>
        <w:t xml:space="preserve"> и ТАСС</w:t>
      </w:r>
      <w:r w:rsidR="00DF2CF4">
        <w:rPr>
          <w:rFonts w:eastAsiaTheme="minorHAnsi"/>
          <w:b/>
          <w:bCs/>
          <w:sz w:val="28"/>
          <w:szCs w:val="28"/>
          <w:lang w:val="ru-RU"/>
        </w:rPr>
        <w:t>)</w:t>
      </w:r>
    </w:p>
    <w:p w14:paraId="4ADDFE50" w14:textId="77777777" w:rsidR="00E72B7B" w:rsidRDefault="00E72B7B">
      <w:pPr>
        <w:spacing w:line="360" w:lineRule="auto"/>
        <w:ind w:firstLine="709"/>
        <w:jc w:val="both"/>
        <w:rPr>
          <w:rFonts w:eastAsiaTheme="minorHAnsi"/>
          <w:b/>
          <w:bCs/>
          <w:sz w:val="28"/>
          <w:szCs w:val="28"/>
          <w:lang w:val="ru-RU"/>
        </w:rPr>
      </w:pPr>
    </w:p>
    <w:p w14:paraId="7D147E12" w14:textId="77777777" w:rsidR="00273B83" w:rsidRDefault="00273B83">
      <w:pPr>
        <w:spacing w:line="360" w:lineRule="auto"/>
        <w:ind w:firstLine="709"/>
        <w:jc w:val="both"/>
        <w:rPr>
          <w:rFonts w:eastAsiaTheme="minorHAnsi"/>
          <w:i/>
          <w:iCs/>
          <w:sz w:val="28"/>
          <w:szCs w:val="28"/>
          <w:lang w:val="ru-RU"/>
        </w:rPr>
      </w:pPr>
      <w:r w:rsidRPr="00273B83">
        <w:rPr>
          <w:rFonts w:eastAsiaTheme="minorHAnsi"/>
          <w:sz w:val="28"/>
          <w:szCs w:val="28"/>
          <w:lang w:val="ru-RU"/>
        </w:rPr>
        <w:t>В условиях цифровизации журналистские материалы реже существуют в «чистом» жанровом виде, представляя собой гибридные формы. На примерах зарубежных и российских мультимедийных спецпроектов исследуются именно такие жанровые трансформации.</w:t>
      </w:r>
      <w:r w:rsidRPr="00AA4EBC">
        <w:rPr>
          <w:rFonts w:eastAsiaTheme="minorHAnsi"/>
          <w:i/>
          <w:iCs/>
          <w:sz w:val="28"/>
          <w:szCs w:val="28"/>
          <w:lang w:val="ru-RU"/>
        </w:rPr>
        <w:t xml:space="preserve"> </w:t>
      </w:r>
    </w:p>
    <w:p w14:paraId="2211EA08" w14:textId="19A84730" w:rsidR="00E72B7B" w:rsidRDefault="00DD3C67">
      <w:pPr>
        <w:spacing w:line="360" w:lineRule="auto"/>
        <w:ind w:firstLine="709"/>
        <w:jc w:val="both"/>
        <w:rPr>
          <w:rFonts w:eastAsiaTheme="minorHAnsi"/>
          <w:sz w:val="28"/>
          <w:szCs w:val="28"/>
          <w:lang w:val="ru-RU"/>
        </w:rPr>
      </w:pPr>
      <w:r w:rsidRPr="00AA4EBC">
        <w:rPr>
          <w:rFonts w:eastAsiaTheme="minorHAnsi"/>
          <w:i/>
          <w:iCs/>
          <w:sz w:val="28"/>
          <w:szCs w:val="28"/>
          <w:lang w:val="ru-RU"/>
        </w:rPr>
        <w:t>Ключевые слова</w:t>
      </w:r>
      <w:r>
        <w:rPr>
          <w:rFonts w:eastAsiaTheme="minorHAnsi"/>
          <w:sz w:val="28"/>
          <w:szCs w:val="28"/>
          <w:lang w:val="ru-RU"/>
        </w:rPr>
        <w:t xml:space="preserve">: </w:t>
      </w:r>
      <w:r w:rsidR="00D36157" w:rsidRPr="00D36157">
        <w:rPr>
          <w:rFonts w:eastAsiaTheme="minorHAnsi"/>
          <w:sz w:val="28"/>
          <w:szCs w:val="28"/>
          <w:lang w:val="ru-RU"/>
        </w:rPr>
        <w:t>мультимедийный спецпроект, гибридизация жанров, цифровая трансформация.</w:t>
      </w:r>
    </w:p>
    <w:p w14:paraId="0D6CA07C" w14:textId="77777777" w:rsidR="00E72B7B" w:rsidRDefault="00E72B7B">
      <w:pPr>
        <w:spacing w:line="360" w:lineRule="auto"/>
        <w:ind w:firstLine="709"/>
        <w:jc w:val="both"/>
        <w:rPr>
          <w:rFonts w:eastAsiaTheme="minorHAnsi"/>
          <w:sz w:val="28"/>
          <w:szCs w:val="28"/>
          <w:lang w:val="ru-RU"/>
        </w:rPr>
      </w:pPr>
    </w:p>
    <w:p w14:paraId="0B0452C2" w14:textId="004FA276" w:rsidR="00B12685" w:rsidRDefault="00D36157" w:rsidP="001B5CD5">
      <w:pPr>
        <w:spacing w:line="360" w:lineRule="auto"/>
        <w:ind w:firstLine="709"/>
        <w:jc w:val="both"/>
        <w:rPr>
          <w:rFonts w:eastAsiaTheme="minorHAnsi"/>
          <w:sz w:val="28"/>
          <w:szCs w:val="28"/>
          <w:lang w:val="ru-RU"/>
        </w:rPr>
      </w:pPr>
      <w:r w:rsidRPr="00D36157">
        <w:rPr>
          <w:rFonts w:eastAsiaTheme="minorHAnsi"/>
          <w:sz w:val="28"/>
          <w:szCs w:val="28"/>
          <w:lang w:val="ru-RU"/>
        </w:rPr>
        <w:t>Эмпирическую базу данного исследования составляют мультимедийные спецпроекты, опубликованные в 2025 г</w:t>
      </w:r>
      <w:r w:rsidR="00DF2CF4">
        <w:rPr>
          <w:rFonts w:eastAsiaTheme="minorHAnsi"/>
          <w:sz w:val="28"/>
          <w:szCs w:val="28"/>
          <w:lang w:val="ru-RU"/>
        </w:rPr>
        <w:t>.</w:t>
      </w:r>
      <w:r w:rsidRPr="00D36157">
        <w:rPr>
          <w:rFonts w:eastAsiaTheme="minorHAnsi"/>
          <w:sz w:val="28"/>
          <w:szCs w:val="28"/>
          <w:lang w:val="ru-RU"/>
        </w:rPr>
        <w:t xml:space="preserve"> </w:t>
      </w:r>
      <w:r w:rsidR="00DF2CF4">
        <w:rPr>
          <w:rFonts w:eastAsiaTheme="minorHAnsi"/>
          <w:sz w:val="28"/>
          <w:szCs w:val="28"/>
          <w:lang w:val="ru-RU"/>
        </w:rPr>
        <w:t>на ресурсах</w:t>
      </w:r>
      <w:r w:rsidRPr="00D36157">
        <w:rPr>
          <w:rFonts w:eastAsiaTheme="minorHAnsi"/>
          <w:sz w:val="28"/>
          <w:szCs w:val="28"/>
          <w:lang w:val="ru-RU"/>
        </w:rPr>
        <w:t xml:space="preserve"> </w:t>
      </w:r>
      <w:r w:rsidR="0023504D" w:rsidRPr="0023504D">
        <w:rPr>
          <w:rFonts w:eastAsiaTheme="minorHAnsi"/>
          <w:sz w:val="28"/>
          <w:szCs w:val="28"/>
          <w:lang w:val="ru-RU"/>
        </w:rPr>
        <w:t>‘The Guardian”</w:t>
      </w:r>
      <w:r w:rsidRPr="00D36157">
        <w:rPr>
          <w:rFonts w:eastAsiaTheme="minorHAnsi"/>
          <w:sz w:val="28"/>
          <w:szCs w:val="28"/>
          <w:lang w:val="ru-RU"/>
        </w:rPr>
        <w:t xml:space="preserve">, </w:t>
      </w:r>
      <w:r w:rsidR="0023504D" w:rsidRPr="0023504D">
        <w:rPr>
          <w:rFonts w:eastAsiaTheme="minorHAnsi"/>
          <w:sz w:val="28"/>
          <w:szCs w:val="28"/>
          <w:lang w:val="ru-RU"/>
        </w:rPr>
        <w:t>“The New York Times”</w:t>
      </w:r>
      <w:r w:rsidRPr="00D36157">
        <w:rPr>
          <w:rFonts w:eastAsiaTheme="minorHAnsi"/>
          <w:sz w:val="28"/>
          <w:szCs w:val="28"/>
          <w:lang w:val="ru-RU"/>
        </w:rPr>
        <w:t xml:space="preserve"> и ТАСС. Рассматриваемый формат представляет собой сложный гибрид, вобравший в себя черты различных традиционных жанров под влиянием цифровой среды. Как отмечает Л. В. Иванова, в мультимедийных проектах оперативно-исследовательские и аналитические жанры (корреспонденция, комментарий, статья, обозрение) обретают новое структурное воплощение [</w:t>
      </w:r>
      <w:r w:rsidR="0023504D">
        <w:rPr>
          <w:rFonts w:eastAsiaTheme="minorHAnsi"/>
          <w:sz w:val="28"/>
          <w:szCs w:val="28"/>
          <w:lang w:val="ru-RU"/>
        </w:rPr>
        <w:t>2</w:t>
      </w:r>
      <w:r w:rsidR="00DF2CF4">
        <w:rPr>
          <w:rFonts w:eastAsiaTheme="minorHAnsi"/>
          <w:sz w:val="28"/>
          <w:szCs w:val="28"/>
          <w:lang w:val="ru-RU"/>
        </w:rPr>
        <w:t>:</w:t>
      </w:r>
      <w:r w:rsidRPr="00D36157">
        <w:rPr>
          <w:rFonts w:eastAsiaTheme="minorHAnsi"/>
          <w:sz w:val="28"/>
          <w:szCs w:val="28"/>
          <w:lang w:val="ru-RU"/>
        </w:rPr>
        <w:t xml:space="preserve"> 100]. Как следствие, возникает продукт, соединяющий журналистский подход, PR-технологии и инструментарий новых медиа. Спецпроекты – это уникальный контент, который выделяется на фоне стандартных новостей и обогащает опыт потребления медиасодержания посредством информационного или тематического подходов [</w:t>
      </w:r>
      <w:r w:rsidR="0023504D">
        <w:rPr>
          <w:rFonts w:eastAsiaTheme="minorHAnsi"/>
          <w:sz w:val="28"/>
          <w:szCs w:val="28"/>
          <w:lang w:val="ru-RU"/>
        </w:rPr>
        <w:t>1</w:t>
      </w:r>
      <w:r w:rsidRPr="00D36157">
        <w:rPr>
          <w:rFonts w:eastAsiaTheme="minorHAnsi"/>
          <w:sz w:val="28"/>
          <w:szCs w:val="28"/>
          <w:lang w:val="ru-RU"/>
        </w:rPr>
        <w:t xml:space="preserve">]. Этот формат предоставляет возможность освещать события согласно предпочтениям своевременного читателя [3]. </w:t>
      </w:r>
    </w:p>
    <w:p w14:paraId="640CED48" w14:textId="6E3FB8F1" w:rsidR="00D36157" w:rsidRDefault="00D36157" w:rsidP="00C75271">
      <w:pPr>
        <w:spacing w:line="360" w:lineRule="auto"/>
        <w:ind w:firstLine="709"/>
        <w:jc w:val="both"/>
        <w:rPr>
          <w:rFonts w:eastAsiaTheme="minorHAnsi"/>
          <w:sz w:val="28"/>
          <w:szCs w:val="28"/>
          <w:lang w:val="ru-RU"/>
        </w:rPr>
      </w:pPr>
      <w:r w:rsidRPr="00D36157">
        <w:rPr>
          <w:rFonts w:eastAsiaTheme="minorHAnsi"/>
          <w:sz w:val="28"/>
          <w:szCs w:val="28"/>
          <w:lang w:val="ru-RU"/>
        </w:rPr>
        <w:lastRenderedPageBreak/>
        <w:t>В 2025 г</w:t>
      </w:r>
      <w:r w:rsidR="00DF2CF4">
        <w:rPr>
          <w:rFonts w:eastAsiaTheme="minorHAnsi"/>
          <w:sz w:val="28"/>
          <w:szCs w:val="28"/>
          <w:lang w:val="ru-RU"/>
        </w:rPr>
        <w:t>.</w:t>
      </w:r>
      <w:r w:rsidRPr="00D36157">
        <w:rPr>
          <w:rFonts w:eastAsiaTheme="minorHAnsi"/>
          <w:sz w:val="28"/>
          <w:szCs w:val="28"/>
          <w:lang w:val="ru-RU"/>
        </w:rPr>
        <w:t xml:space="preserve"> на сайте ТАСС было опубликовано 45 мультимедийных спецпроектов: 20 редакционных и 25 партнерских. Тематика материалов варьируется от культурной и научно-просветительской до социально-экономической. Для анализа особенностей спецпроектов рассмотрим один из наиболее показательных примеров – «Какие знания хранят исчезающие языки России» от 1 июля 2025 г. Эта мультимедийная история демонстрирует признаки жанрового синтеза </w:t>
      </w:r>
      <w:r w:rsidR="00A213F1" w:rsidRPr="00D36157">
        <w:rPr>
          <w:rFonts w:eastAsiaTheme="minorHAnsi"/>
          <w:sz w:val="28"/>
          <w:szCs w:val="28"/>
          <w:lang w:val="ru-RU"/>
        </w:rPr>
        <w:t>–</w:t>
      </w:r>
      <w:r w:rsidRPr="00D36157">
        <w:rPr>
          <w:rFonts w:eastAsiaTheme="minorHAnsi"/>
          <w:sz w:val="28"/>
          <w:szCs w:val="28"/>
          <w:lang w:val="ru-RU"/>
        </w:rPr>
        <w:t xml:space="preserve"> корреспонденции, очерка, репортажа и зарисовки. Образуется сложная экосистема, где каждый элемент решает конкретную коммуникативную задачу в линейной или нелинейной композиции, создающейся с помощью навигации – меню.</w:t>
      </w:r>
      <w:r>
        <w:rPr>
          <w:rFonts w:eastAsiaTheme="minorHAnsi"/>
          <w:sz w:val="28"/>
          <w:szCs w:val="28"/>
          <w:lang w:val="ru-RU"/>
        </w:rPr>
        <w:t xml:space="preserve"> </w:t>
      </w:r>
    </w:p>
    <w:p w14:paraId="4C5DCA13" w14:textId="5A263BA1" w:rsidR="00B12685" w:rsidRDefault="00D36157" w:rsidP="00C75271">
      <w:pPr>
        <w:spacing w:line="360" w:lineRule="auto"/>
        <w:ind w:firstLine="709"/>
        <w:jc w:val="both"/>
        <w:rPr>
          <w:rFonts w:eastAsiaTheme="minorHAnsi"/>
          <w:sz w:val="28"/>
          <w:szCs w:val="28"/>
          <w:lang w:val="ru-RU"/>
        </w:rPr>
      </w:pPr>
      <w:r w:rsidRPr="00D36157">
        <w:rPr>
          <w:rFonts w:eastAsiaTheme="minorHAnsi"/>
          <w:sz w:val="28"/>
          <w:szCs w:val="28"/>
          <w:lang w:val="ru-RU"/>
        </w:rPr>
        <w:t xml:space="preserve">На сайте </w:t>
      </w:r>
      <w:r w:rsidR="0023504D" w:rsidRPr="0023504D">
        <w:rPr>
          <w:rFonts w:eastAsiaTheme="minorHAnsi"/>
          <w:sz w:val="28"/>
          <w:szCs w:val="28"/>
          <w:lang w:val="ru-RU"/>
        </w:rPr>
        <w:t>‘The Guardian”</w:t>
      </w:r>
      <w:r w:rsidR="0023504D" w:rsidRPr="0023504D">
        <w:rPr>
          <w:rFonts w:eastAsiaTheme="minorHAnsi"/>
          <w:sz w:val="28"/>
          <w:szCs w:val="28"/>
          <w:lang w:val="ru-RU"/>
        </w:rPr>
        <w:t xml:space="preserve"> </w:t>
      </w:r>
      <w:r w:rsidRPr="00D36157">
        <w:rPr>
          <w:rFonts w:eastAsiaTheme="minorHAnsi"/>
          <w:sz w:val="28"/>
          <w:szCs w:val="28"/>
          <w:lang w:val="ru-RU"/>
        </w:rPr>
        <w:t xml:space="preserve">в специальном разделе представлены шесть лучших мультимедийных проектов. Преимущественная тематика материалов связана с военно-политическими событиями и экологическими проблемами. В спецпроекте </w:t>
      </w:r>
      <w:r w:rsidR="0023504D" w:rsidRPr="0023504D">
        <w:rPr>
          <w:rFonts w:eastAsiaTheme="minorHAnsi"/>
          <w:sz w:val="28"/>
          <w:szCs w:val="28"/>
          <w:lang w:val="ru-RU"/>
        </w:rPr>
        <w:t>‘The Guardian”</w:t>
      </w:r>
      <w:r w:rsidRPr="00D36157">
        <w:rPr>
          <w:rFonts w:eastAsiaTheme="minorHAnsi"/>
          <w:sz w:val="28"/>
          <w:szCs w:val="28"/>
          <w:lang w:val="ru-RU"/>
        </w:rPr>
        <w:t xml:space="preserve"> </w:t>
      </w:r>
      <w:r w:rsidR="00A213F1" w:rsidRPr="001B5CD5">
        <w:rPr>
          <w:rFonts w:eastAsiaTheme="minorHAnsi"/>
          <w:sz w:val="28"/>
          <w:szCs w:val="28"/>
          <w:lang w:val="ru-RU"/>
        </w:rPr>
        <w:t>“</w:t>
      </w:r>
      <w:r w:rsidRPr="00D36157">
        <w:rPr>
          <w:rFonts w:eastAsiaTheme="minorHAnsi"/>
          <w:sz w:val="28"/>
          <w:szCs w:val="28"/>
          <w:lang w:val="ru-RU"/>
        </w:rPr>
        <w:t>Deep-</w:t>
      </w:r>
      <w:r w:rsidRPr="00DF2CF4">
        <w:rPr>
          <w:rFonts w:eastAsiaTheme="minorHAnsi"/>
          <w:sz w:val="28"/>
          <w:szCs w:val="28"/>
        </w:rPr>
        <w:t>sea</w:t>
      </w:r>
      <w:r w:rsidRPr="00DF2CF4">
        <w:rPr>
          <w:rFonts w:eastAsiaTheme="minorHAnsi"/>
          <w:sz w:val="28"/>
          <w:szCs w:val="28"/>
          <w:lang w:val="ru-RU"/>
        </w:rPr>
        <w:t xml:space="preserve"> </w:t>
      </w:r>
      <w:r w:rsidRPr="00DF2CF4">
        <w:rPr>
          <w:rFonts w:eastAsiaTheme="minorHAnsi"/>
          <w:sz w:val="28"/>
          <w:szCs w:val="28"/>
        </w:rPr>
        <w:t>mining</w:t>
      </w:r>
      <w:r w:rsidR="00A213F1" w:rsidRPr="001B5CD5">
        <w:rPr>
          <w:rFonts w:eastAsiaTheme="minorHAnsi"/>
          <w:sz w:val="28"/>
          <w:szCs w:val="28"/>
          <w:lang w:val="ru-RU"/>
        </w:rPr>
        <w:t>”</w:t>
      </w:r>
      <w:r w:rsidRPr="00D36157">
        <w:rPr>
          <w:rFonts w:eastAsiaTheme="minorHAnsi"/>
          <w:sz w:val="28"/>
          <w:szCs w:val="28"/>
          <w:lang w:val="ru-RU"/>
        </w:rPr>
        <w:t xml:space="preserve"> от 12 марта 2025 г</w:t>
      </w:r>
      <w:r w:rsidR="00DF2CF4">
        <w:rPr>
          <w:rFonts w:eastAsiaTheme="minorHAnsi"/>
          <w:sz w:val="28"/>
          <w:szCs w:val="28"/>
          <w:lang w:val="ru-RU"/>
        </w:rPr>
        <w:t>.</w:t>
      </w:r>
      <w:r w:rsidRPr="00D36157">
        <w:rPr>
          <w:rFonts w:eastAsiaTheme="minorHAnsi"/>
          <w:sz w:val="28"/>
          <w:szCs w:val="28"/>
          <w:lang w:val="ru-RU"/>
        </w:rPr>
        <w:t xml:space="preserve"> синтез журналистских жанров организован вокруг «визуального объяснения». Материал представляет собой гибрид статьи (системное исследование экологических и экономических аспектов), расследования (вскрытие противоречий между интересами научного сообщества и добывающей компани</w:t>
      </w:r>
      <w:r w:rsidR="00DF2CF4">
        <w:rPr>
          <w:rFonts w:eastAsiaTheme="minorHAnsi"/>
          <w:sz w:val="28"/>
          <w:szCs w:val="28"/>
          <w:lang w:val="ru-RU"/>
        </w:rPr>
        <w:t>и</w:t>
      </w:r>
      <w:r w:rsidRPr="00D36157">
        <w:rPr>
          <w:rFonts w:eastAsiaTheme="minorHAnsi"/>
          <w:sz w:val="28"/>
          <w:szCs w:val="28"/>
          <w:lang w:val="ru-RU"/>
        </w:rPr>
        <w:t xml:space="preserve">), комментария (прямые цитаты экспертов) и зарисовки. Интерактивные графики и карты позволяют читателю самостоятельно линейно анализировать информацию. </w:t>
      </w:r>
    </w:p>
    <w:p w14:paraId="259DBB5B" w14:textId="729B5FBC" w:rsidR="00482000" w:rsidRPr="001B5CD5" w:rsidRDefault="00D36157" w:rsidP="00C75271">
      <w:pPr>
        <w:spacing w:line="360" w:lineRule="auto"/>
        <w:ind w:firstLine="709"/>
        <w:jc w:val="both"/>
        <w:rPr>
          <w:rFonts w:eastAsiaTheme="minorHAnsi"/>
          <w:sz w:val="28"/>
          <w:szCs w:val="28"/>
          <w:lang w:val="ru-RU"/>
        </w:rPr>
      </w:pPr>
      <w:r w:rsidRPr="00D36157">
        <w:rPr>
          <w:rFonts w:eastAsiaTheme="minorHAnsi"/>
          <w:sz w:val="28"/>
          <w:szCs w:val="28"/>
          <w:lang w:val="ru-RU"/>
        </w:rPr>
        <w:t xml:space="preserve">В </w:t>
      </w:r>
      <w:r w:rsidR="0023504D" w:rsidRPr="0023504D">
        <w:rPr>
          <w:rFonts w:eastAsiaTheme="minorHAnsi"/>
          <w:sz w:val="28"/>
          <w:szCs w:val="28"/>
          <w:lang w:val="ru-RU"/>
        </w:rPr>
        <w:t>“The New York Times”</w:t>
      </w:r>
      <w:r w:rsidRPr="00D36157">
        <w:rPr>
          <w:rFonts w:eastAsiaTheme="minorHAnsi"/>
          <w:sz w:val="28"/>
          <w:szCs w:val="28"/>
          <w:lang w:val="ru-RU"/>
        </w:rPr>
        <w:t xml:space="preserve"> мультимедийные спецпроекты размещаются в разделе </w:t>
      </w:r>
      <w:r w:rsidR="0023504D" w:rsidRPr="0023504D">
        <w:rPr>
          <w:rFonts w:eastAsiaTheme="minorHAnsi"/>
          <w:sz w:val="28"/>
          <w:szCs w:val="28"/>
          <w:lang w:val="ru-RU"/>
        </w:rPr>
        <w:t>“Graphics”</w:t>
      </w:r>
      <w:r w:rsidRPr="00D36157">
        <w:rPr>
          <w:rFonts w:eastAsiaTheme="minorHAnsi"/>
          <w:sz w:val="28"/>
          <w:szCs w:val="28"/>
          <w:lang w:val="ru-RU"/>
        </w:rPr>
        <w:t xml:space="preserve">, где представлено более десяти спецпроектов, опубликованных в 2025 г. Преимущественная тематика – экология, политика и наука. Мультимедийная история </w:t>
      </w:r>
      <w:r w:rsidR="0023504D" w:rsidRPr="0023504D">
        <w:rPr>
          <w:rFonts w:eastAsiaTheme="minorHAnsi"/>
          <w:sz w:val="28"/>
          <w:szCs w:val="28"/>
          <w:lang w:val="ru-RU"/>
        </w:rPr>
        <w:t>“The New York Times”</w:t>
      </w:r>
      <w:r w:rsidRPr="00D36157">
        <w:rPr>
          <w:rFonts w:eastAsiaTheme="minorHAnsi"/>
          <w:sz w:val="28"/>
          <w:szCs w:val="28"/>
          <w:lang w:val="ru-RU"/>
        </w:rPr>
        <w:t xml:space="preserve"> </w:t>
      </w:r>
      <w:r w:rsidR="00B12685" w:rsidRPr="001B5CD5">
        <w:rPr>
          <w:rFonts w:eastAsiaTheme="minorHAnsi"/>
          <w:sz w:val="28"/>
          <w:szCs w:val="28"/>
          <w:lang w:val="ru-RU"/>
        </w:rPr>
        <w:t>“</w:t>
      </w:r>
      <w:r w:rsidRPr="00DF2CF4">
        <w:rPr>
          <w:rFonts w:eastAsiaTheme="minorHAnsi"/>
          <w:sz w:val="28"/>
          <w:szCs w:val="28"/>
        </w:rPr>
        <w:t>Where Will Everyone in Gaza</w:t>
      </w:r>
      <w:r w:rsidRPr="00D36157">
        <w:rPr>
          <w:rFonts w:eastAsiaTheme="minorHAnsi"/>
          <w:sz w:val="28"/>
          <w:szCs w:val="28"/>
          <w:lang w:val="ru-RU"/>
        </w:rPr>
        <w:t xml:space="preserve"> City Go?</w:t>
      </w:r>
      <w:r w:rsidR="00B12685" w:rsidRPr="001B5CD5">
        <w:rPr>
          <w:rFonts w:eastAsiaTheme="minorHAnsi"/>
          <w:sz w:val="28"/>
          <w:szCs w:val="28"/>
          <w:lang w:val="ru-RU"/>
        </w:rPr>
        <w:t>”</w:t>
      </w:r>
      <w:r w:rsidRPr="00D36157">
        <w:rPr>
          <w:rFonts w:eastAsiaTheme="minorHAnsi"/>
          <w:sz w:val="28"/>
          <w:szCs w:val="28"/>
          <w:lang w:val="ru-RU"/>
        </w:rPr>
        <w:t xml:space="preserve"> от 11 сентября 2025 г</w:t>
      </w:r>
      <w:r w:rsidR="00DF2CF4">
        <w:rPr>
          <w:rFonts w:eastAsiaTheme="minorHAnsi"/>
          <w:sz w:val="28"/>
          <w:szCs w:val="28"/>
          <w:lang w:val="ru-RU"/>
        </w:rPr>
        <w:t>.</w:t>
      </w:r>
      <w:r w:rsidRPr="00D36157">
        <w:rPr>
          <w:rFonts w:eastAsiaTheme="minorHAnsi"/>
          <w:sz w:val="28"/>
          <w:szCs w:val="28"/>
          <w:lang w:val="ru-RU"/>
        </w:rPr>
        <w:t xml:space="preserve"> также представляет собой синтез журналистских жанров, основа которого строится на расследовании. Материал является гибридом репортажа (хроника перемещения населения), статьи (сравнительный анализ спутниковых снимков разного периода). Композиционное единство обеспечивается за счет интерактивного </w:t>
      </w:r>
      <w:r w:rsidRPr="00D36157">
        <w:rPr>
          <w:rFonts w:eastAsiaTheme="minorHAnsi"/>
          <w:sz w:val="28"/>
          <w:szCs w:val="28"/>
          <w:lang w:val="ru-RU"/>
        </w:rPr>
        <w:lastRenderedPageBreak/>
        <w:t>сопоставления фотографий и спутниковых снимков, позволяющих читателю самостоятельно проследить трансформацию территории.</w:t>
      </w:r>
    </w:p>
    <w:p w14:paraId="4C6F4468" w14:textId="35D3B15D" w:rsidR="00E70007" w:rsidRDefault="00D36157" w:rsidP="00C75271">
      <w:pPr>
        <w:spacing w:line="360" w:lineRule="auto"/>
        <w:ind w:firstLine="709"/>
        <w:jc w:val="both"/>
        <w:rPr>
          <w:rFonts w:eastAsiaTheme="minorHAnsi"/>
          <w:sz w:val="28"/>
          <w:szCs w:val="28"/>
          <w:lang w:val="ru-RU"/>
        </w:rPr>
      </w:pPr>
      <w:r w:rsidRPr="00D36157">
        <w:rPr>
          <w:rFonts w:eastAsiaTheme="minorHAnsi"/>
          <w:sz w:val="28"/>
          <w:szCs w:val="28"/>
          <w:lang w:val="ru-RU"/>
        </w:rPr>
        <w:t xml:space="preserve">Ключевое сходство рассмотренных спецпроектов заключается в общей тенденции жанровой гибридизации. Каждое издание демонстрирует уникальный подход: если ТАСС использует нелинейную мозаичную композицию (меню, интерактивная карта) для систематизации информации, а </w:t>
      </w:r>
      <w:r w:rsidR="0023504D" w:rsidRPr="0023504D">
        <w:rPr>
          <w:rFonts w:eastAsiaTheme="minorHAnsi"/>
          <w:sz w:val="28"/>
          <w:szCs w:val="28"/>
          <w:lang w:val="ru-RU"/>
        </w:rPr>
        <w:t>‘The Guardian”</w:t>
      </w:r>
      <w:r w:rsidRPr="00D36157">
        <w:rPr>
          <w:rFonts w:eastAsiaTheme="minorHAnsi"/>
          <w:sz w:val="28"/>
          <w:szCs w:val="28"/>
          <w:lang w:val="ru-RU"/>
        </w:rPr>
        <w:t xml:space="preserve"> выстраивает линейную аргументацию (визуальный объяснитель) для проекции будущего, то </w:t>
      </w:r>
      <w:r w:rsidR="0023504D" w:rsidRPr="0023504D">
        <w:rPr>
          <w:rFonts w:eastAsiaTheme="minorHAnsi"/>
          <w:sz w:val="28"/>
          <w:szCs w:val="28"/>
          <w:lang w:val="ru-RU"/>
        </w:rPr>
        <w:t>“The New York Times”</w:t>
      </w:r>
      <w:r w:rsidRPr="00D36157">
        <w:rPr>
          <w:rFonts w:eastAsiaTheme="minorHAnsi"/>
          <w:sz w:val="28"/>
          <w:szCs w:val="28"/>
          <w:lang w:val="ru-RU"/>
        </w:rPr>
        <w:t xml:space="preserve"> применяет тактическое картографирование (спутниковый мониторинг) для документирования текущего гуманитарного кризиса. Различия показывают, что жанровая гибридизация служит не универсальным шаблоном, а гибким инструментом, адаптирующимся под конкретную коммуникативную цель.</w:t>
      </w:r>
    </w:p>
    <w:p w14:paraId="7DEF8490" w14:textId="77777777" w:rsidR="00D36157" w:rsidRPr="001B5CD5" w:rsidRDefault="00D36157" w:rsidP="00C75271">
      <w:pPr>
        <w:spacing w:line="360" w:lineRule="auto"/>
        <w:ind w:firstLine="709"/>
        <w:jc w:val="both"/>
        <w:rPr>
          <w:rFonts w:eastAsiaTheme="minorHAnsi"/>
          <w:sz w:val="28"/>
          <w:szCs w:val="28"/>
          <w:lang w:val="ru-RU"/>
        </w:rPr>
      </w:pPr>
    </w:p>
    <w:p w14:paraId="679BC37B" w14:textId="42C3F0EA" w:rsidR="00E72B7B" w:rsidRPr="00D50B60" w:rsidRDefault="00D50B60" w:rsidP="00D50B60">
      <w:pPr>
        <w:spacing w:line="360" w:lineRule="auto"/>
        <w:ind w:firstLine="709"/>
        <w:jc w:val="both"/>
        <w:rPr>
          <w:rFonts w:eastAsiaTheme="minorHAnsi"/>
          <w:i/>
          <w:iCs/>
          <w:sz w:val="28"/>
          <w:szCs w:val="28"/>
          <w:lang w:val="ru-RU"/>
        </w:rPr>
      </w:pPr>
      <w:r w:rsidRPr="00D50B60">
        <w:rPr>
          <w:rFonts w:eastAsiaTheme="minorHAnsi"/>
          <w:i/>
          <w:iCs/>
          <w:sz w:val="28"/>
          <w:szCs w:val="28"/>
          <w:lang w:val="ru-RU"/>
        </w:rPr>
        <w:t>Литература</w:t>
      </w:r>
    </w:p>
    <w:p w14:paraId="0FF12F88" w14:textId="77777777" w:rsidR="0023504D" w:rsidRDefault="00482000" w:rsidP="0023504D">
      <w:pPr>
        <w:spacing w:line="360" w:lineRule="auto"/>
        <w:ind w:firstLine="709"/>
        <w:jc w:val="both"/>
        <w:rPr>
          <w:rFonts w:eastAsiaTheme="minorHAnsi"/>
          <w:sz w:val="28"/>
          <w:szCs w:val="28"/>
          <w:lang w:val="ru-RU"/>
        </w:rPr>
      </w:pPr>
      <w:r w:rsidRPr="001B5CD5">
        <w:rPr>
          <w:rFonts w:eastAsiaTheme="minorHAnsi"/>
          <w:sz w:val="28"/>
          <w:szCs w:val="28"/>
          <w:lang w:val="ru-RU"/>
        </w:rPr>
        <w:t>1.</w:t>
      </w:r>
      <w:r w:rsidR="001B5CD5">
        <w:rPr>
          <w:rFonts w:eastAsiaTheme="minorHAnsi"/>
          <w:sz w:val="28"/>
          <w:szCs w:val="28"/>
          <w:lang w:val="ru-RU"/>
        </w:rPr>
        <w:t xml:space="preserve"> </w:t>
      </w:r>
      <w:r w:rsidRPr="001B5CD5">
        <w:rPr>
          <w:rFonts w:eastAsiaTheme="minorHAnsi"/>
          <w:sz w:val="28"/>
          <w:szCs w:val="28"/>
          <w:lang w:val="ru-RU"/>
        </w:rPr>
        <w:t xml:space="preserve">Богомазова Д. А. Особенности спецпроекта в современном российском медиапространстве // Слово в науке. 2023. № 15. С. 13–15. </w:t>
      </w:r>
    </w:p>
    <w:p w14:paraId="6C23BA3C" w14:textId="763DA05E" w:rsidR="001B5CD5" w:rsidRDefault="0023504D" w:rsidP="0023504D">
      <w:pPr>
        <w:spacing w:line="360" w:lineRule="auto"/>
        <w:ind w:firstLine="709"/>
        <w:jc w:val="both"/>
        <w:rPr>
          <w:rFonts w:eastAsiaTheme="minorHAnsi"/>
          <w:sz w:val="28"/>
          <w:szCs w:val="28"/>
          <w:lang w:val="ru-RU"/>
        </w:rPr>
      </w:pPr>
      <w:r>
        <w:rPr>
          <w:rFonts w:eastAsiaTheme="minorHAnsi"/>
          <w:sz w:val="28"/>
          <w:szCs w:val="28"/>
          <w:lang w:val="ru-RU"/>
        </w:rPr>
        <w:t xml:space="preserve">2. </w:t>
      </w:r>
      <w:r w:rsidRPr="0023504D">
        <w:rPr>
          <w:rFonts w:eastAsiaTheme="minorHAnsi"/>
          <w:sz w:val="28"/>
          <w:szCs w:val="28"/>
          <w:lang w:val="ru-RU"/>
        </w:rPr>
        <w:t>Иванова Л. В. Использование теории связей с общественностью в учебном процессе подготовки журналистов (на примере освоения формата «спецпроект») // Вестник Челябинского государственного университета. 2016. № 9 (391). Филологические науки. Вып. 102. С. 78–86.</w:t>
      </w:r>
    </w:p>
    <w:p w14:paraId="6958A7A8" w14:textId="31AC7660" w:rsidR="00E72B7B" w:rsidRPr="00DD3C67" w:rsidRDefault="00482000" w:rsidP="00005C3E">
      <w:pPr>
        <w:spacing w:line="360" w:lineRule="auto"/>
        <w:ind w:firstLine="709"/>
        <w:jc w:val="both"/>
        <w:rPr>
          <w:rFonts w:eastAsiaTheme="minorHAnsi"/>
          <w:sz w:val="28"/>
          <w:szCs w:val="28"/>
          <w:lang w:val="ru-RU"/>
        </w:rPr>
      </w:pPr>
      <w:r w:rsidRPr="001B5CD5">
        <w:rPr>
          <w:rFonts w:eastAsiaTheme="minorHAnsi"/>
          <w:sz w:val="28"/>
          <w:szCs w:val="28"/>
          <w:lang w:val="ru-RU"/>
        </w:rPr>
        <w:t>3.</w:t>
      </w:r>
      <w:r w:rsidR="001B5CD5">
        <w:rPr>
          <w:rFonts w:eastAsiaTheme="minorHAnsi"/>
          <w:sz w:val="28"/>
          <w:szCs w:val="28"/>
          <w:lang w:val="ru-RU"/>
        </w:rPr>
        <w:t xml:space="preserve"> </w:t>
      </w:r>
      <w:r w:rsidRPr="001B5CD5">
        <w:rPr>
          <w:rFonts w:eastAsiaTheme="minorHAnsi"/>
          <w:sz w:val="28"/>
          <w:szCs w:val="28"/>
          <w:lang w:val="ru-RU"/>
        </w:rPr>
        <w:t>Ким М. Н. Пользовательский контент: проблемы жанрообразования // Управленческое консультирование. 2021. № 3. С. 70–79.</w:t>
      </w:r>
    </w:p>
    <w:sectPr w:rsidR="00E72B7B" w:rsidRPr="00DD3C67">
      <w:pgSz w:w="11906" w:h="16838"/>
      <w:pgMar w:top="960" w:right="1106"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A963"/>
    <w:multiLevelType w:val="singleLevel"/>
    <w:tmpl w:val="2ACCA963"/>
    <w:lvl w:ilvl="0">
      <w:start w:val="1"/>
      <w:numFmt w:val="decimal"/>
      <w:suff w:val="space"/>
      <w:lvlText w:val="%1."/>
      <w:lvlJc w:val="left"/>
    </w:lvl>
  </w:abstractNum>
  <w:abstractNum w:abstractNumId="1" w15:restartNumberingAfterBreak="0">
    <w:nsid w:val="72B84F7A"/>
    <w:multiLevelType w:val="hybridMultilevel"/>
    <w:tmpl w:val="A2342AE8"/>
    <w:lvl w:ilvl="0" w:tplc="6BB434C4">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68338567">
    <w:abstractNumId w:val="0"/>
  </w:num>
  <w:num w:numId="2" w16cid:durableId="26110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B"/>
    <w:rsid w:val="00000D0B"/>
    <w:rsid w:val="0000371B"/>
    <w:rsid w:val="000041C7"/>
    <w:rsid w:val="00005C3E"/>
    <w:rsid w:val="00016B95"/>
    <w:rsid w:val="00041DDA"/>
    <w:rsid w:val="00076632"/>
    <w:rsid w:val="0008308F"/>
    <w:rsid w:val="000D2350"/>
    <w:rsid w:val="000E0B44"/>
    <w:rsid w:val="00106AD4"/>
    <w:rsid w:val="00135896"/>
    <w:rsid w:val="0013696C"/>
    <w:rsid w:val="001548DA"/>
    <w:rsid w:val="00160C8F"/>
    <w:rsid w:val="0017220E"/>
    <w:rsid w:val="00181908"/>
    <w:rsid w:val="001B5CD5"/>
    <w:rsid w:val="001E03BA"/>
    <w:rsid w:val="001F1233"/>
    <w:rsid w:val="00201BBC"/>
    <w:rsid w:val="00204824"/>
    <w:rsid w:val="002101FE"/>
    <w:rsid w:val="00232D21"/>
    <w:rsid w:val="0023504D"/>
    <w:rsid w:val="00250410"/>
    <w:rsid w:val="002516C5"/>
    <w:rsid w:val="00257609"/>
    <w:rsid w:val="00273B83"/>
    <w:rsid w:val="002A54FD"/>
    <w:rsid w:val="002A578F"/>
    <w:rsid w:val="002D7496"/>
    <w:rsid w:val="002F72F9"/>
    <w:rsid w:val="003010EF"/>
    <w:rsid w:val="003203D0"/>
    <w:rsid w:val="00326AC4"/>
    <w:rsid w:val="00326FE3"/>
    <w:rsid w:val="0034766E"/>
    <w:rsid w:val="003477A7"/>
    <w:rsid w:val="00381CF6"/>
    <w:rsid w:val="003838EC"/>
    <w:rsid w:val="00393B9E"/>
    <w:rsid w:val="00397635"/>
    <w:rsid w:val="003D6E66"/>
    <w:rsid w:val="00443EEA"/>
    <w:rsid w:val="00474FE8"/>
    <w:rsid w:val="00482000"/>
    <w:rsid w:val="004C323F"/>
    <w:rsid w:val="004F61A2"/>
    <w:rsid w:val="005247F3"/>
    <w:rsid w:val="00570239"/>
    <w:rsid w:val="005B6B93"/>
    <w:rsid w:val="00615DA5"/>
    <w:rsid w:val="00661A46"/>
    <w:rsid w:val="006C4A1F"/>
    <w:rsid w:val="00717D11"/>
    <w:rsid w:val="007254C4"/>
    <w:rsid w:val="00766E14"/>
    <w:rsid w:val="007D569D"/>
    <w:rsid w:val="007E3F41"/>
    <w:rsid w:val="00850CC6"/>
    <w:rsid w:val="00860741"/>
    <w:rsid w:val="00865508"/>
    <w:rsid w:val="008863D2"/>
    <w:rsid w:val="008B1CE3"/>
    <w:rsid w:val="008C67F8"/>
    <w:rsid w:val="008E205F"/>
    <w:rsid w:val="00921ED6"/>
    <w:rsid w:val="009271DA"/>
    <w:rsid w:val="00927265"/>
    <w:rsid w:val="009277E1"/>
    <w:rsid w:val="00977AF4"/>
    <w:rsid w:val="009A65D5"/>
    <w:rsid w:val="009C1B3A"/>
    <w:rsid w:val="009E0A7E"/>
    <w:rsid w:val="00A213F1"/>
    <w:rsid w:val="00A771B7"/>
    <w:rsid w:val="00AA2BBB"/>
    <w:rsid w:val="00AA390F"/>
    <w:rsid w:val="00AA4EBC"/>
    <w:rsid w:val="00B12685"/>
    <w:rsid w:val="00B252C3"/>
    <w:rsid w:val="00B3368A"/>
    <w:rsid w:val="00B91E11"/>
    <w:rsid w:val="00B96E90"/>
    <w:rsid w:val="00BA1DFF"/>
    <w:rsid w:val="00BA5423"/>
    <w:rsid w:val="00BB524B"/>
    <w:rsid w:val="00BC2CEE"/>
    <w:rsid w:val="00BC7763"/>
    <w:rsid w:val="00BD34CE"/>
    <w:rsid w:val="00BF25B2"/>
    <w:rsid w:val="00C06336"/>
    <w:rsid w:val="00C408AF"/>
    <w:rsid w:val="00C75271"/>
    <w:rsid w:val="00CA673C"/>
    <w:rsid w:val="00D05E6F"/>
    <w:rsid w:val="00D1666D"/>
    <w:rsid w:val="00D32584"/>
    <w:rsid w:val="00D339D9"/>
    <w:rsid w:val="00D36157"/>
    <w:rsid w:val="00D50B60"/>
    <w:rsid w:val="00D8676B"/>
    <w:rsid w:val="00D9271C"/>
    <w:rsid w:val="00DB47E3"/>
    <w:rsid w:val="00DC68C1"/>
    <w:rsid w:val="00DD3C67"/>
    <w:rsid w:val="00DF2CF4"/>
    <w:rsid w:val="00E16EC0"/>
    <w:rsid w:val="00E70007"/>
    <w:rsid w:val="00E72B7B"/>
    <w:rsid w:val="00EE1E2D"/>
    <w:rsid w:val="00EE39A3"/>
    <w:rsid w:val="00F51916"/>
    <w:rsid w:val="00F56C3D"/>
    <w:rsid w:val="00F61B9A"/>
    <w:rsid w:val="00FA575A"/>
    <w:rsid w:val="00FC264D"/>
    <w:rsid w:val="00FF4194"/>
    <w:rsid w:val="6095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7E48"/>
  <w15:docId w15:val="{4FB7E3D4-87D3-4165-BB98-92F80F2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4"/>
      <w:szCs w:val="24"/>
    </w:rPr>
  </w:style>
  <w:style w:type="paragraph" w:styleId="5">
    <w:name w:val="heading 5"/>
    <w:next w:val="a"/>
    <w:qFormat/>
    <w:pPr>
      <w:outlineLvl w:val="4"/>
    </w:pPr>
    <w:rPr>
      <w:color w:val="2E74B5"/>
      <w:sz w:val="24"/>
      <w:szCs w:val="24"/>
    </w:rPr>
  </w:style>
  <w:style w:type="paragraph" w:styleId="6">
    <w:name w:val="heading 6"/>
    <w:next w:val="a"/>
    <w:qFormat/>
    <w:pPr>
      <w:outlineLvl w:val="5"/>
    </w:pPr>
    <w:rPr>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Hyperlink"/>
    <w:uiPriority w:val="99"/>
    <w:unhideWhenUsed/>
    <w:rPr>
      <w:color w:val="0563C1"/>
      <w:u w:val="single" w:color="0563C1"/>
    </w:rPr>
  </w:style>
  <w:style w:type="paragraph" w:styleId="a5">
    <w:name w:val="footnote text"/>
    <w:link w:val="a6"/>
    <w:uiPriority w:val="99"/>
    <w:semiHidden/>
    <w:unhideWhenUsed/>
  </w:style>
  <w:style w:type="paragraph" w:styleId="a7">
    <w:name w:val="Title"/>
    <w:qFormat/>
    <w:rPr>
      <w:sz w:val="56"/>
      <w:szCs w:val="56"/>
    </w:rPr>
  </w:style>
  <w:style w:type="paragraph" w:styleId="a8">
    <w:name w:val="List Paragraph"/>
    <w:qFormat/>
    <w:rPr>
      <w:sz w:val="24"/>
      <w:szCs w:val="24"/>
    </w:rPr>
  </w:style>
  <w:style w:type="character" w:customStyle="1" w:styleId="a6">
    <w:name w:val="Текст сноски Знак"/>
    <w:link w:val="a5"/>
    <w:uiPriority w:val="99"/>
    <w:semiHidden/>
    <w:unhideWhenUsed/>
    <w:qFormat/>
    <w:rPr>
      <w:sz w:val="20"/>
      <w:szCs w:val="20"/>
    </w:rPr>
  </w:style>
  <w:style w:type="paragraph" w:customStyle="1" w:styleId="MdSpace">
    <w:name w:val="MdSpace"/>
    <w:qFormat/>
    <w:rPr>
      <w:sz w:val="12"/>
      <w:szCs w:val="12"/>
    </w:rPr>
  </w:style>
  <w:style w:type="paragraph" w:customStyle="1" w:styleId="MdCode">
    <w:name w:val="MdCode"/>
    <w:qFormat/>
    <w:pPr>
      <w:pBdr>
        <w:top w:val="single" w:sz="2" w:space="8" w:color="A5A5A5"/>
        <w:left w:val="single" w:sz="2" w:space="8" w:color="A5A5A5"/>
        <w:bottom w:val="single" w:sz="2" w:space="8" w:color="A5A5A5"/>
        <w:right w:val="single" w:sz="2"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2" w:space="1" w:color="A5A5A5"/>
      </w:pBdr>
      <w:spacing w:before="240" w:after="240"/>
    </w:pPr>
    <w:rPr>
      <w:sz w:val="24"/>
      <w:szCs w:val="24"/>
    </w:rPr>
  </w:style>
  <w:style w:type="paragraph" w:customStyle="1" w:styleId="MdBlockquote">
    <w:name w:val="MdBlockquote"/>
    <w:qFormat/>
    <w:pPr>
      <w:pBdr>
        <w:left w:val="single" w:sz="20" w:space="12" w:color="A5A5A5"/>
      </w:pBdr>
      <w:spacing w:before="200" w:after="200"/>
      <w:ind w:left="360"/>
    </w:pPr>
    <w:rPr>
      <w:i/>
      <w:iCs/>
      <w:color w:val="666666"/>
      <w:sz w:val="24"/>
      <w:szCs w:val="24"/>
    </w:rPr>
  </w:style>
  <w:style w:type="paragraph" w:customStyle="1" w:styleId="MdHtml">
    <w:name w:val="MdHtml"/>
    <w:qFormat/>
    <w:rPr>
      <w:rFonts w:ascii="Courier New" w:eastAsia="Courier New" w:hAnsi="Courier New" w:cs="Courier New"/>
      <w:color w:val="ED7D31"/>
      <w:sz w:val="24"/>
      <w:szCs w:val="24"/>
    </w:rPr>
  </w:style>
  <w:style w:type="paragraph" w:customStyle="1" w:styleId="MdDef">
    <w:name w:val="MdDef"/>
    <w:qFormat/>
    <w:pPr>
      <w:ind w:left="720" w:hanging="360"/>
    </w:pPr>
    <w:rPr>
      <w:sz w:val="24"/>
      <w:szCs w:val="24"/>
    </w:rPr>
  </w:style>
  <w:style w:type="paragraph" w:customStyle="1" w:styleId="MdParagraph">
    <w:name w:val="MdParagraph"/>
    <w:qFormat/>
    <w:pPr>
      <w:spacing w:before="120" w:after="120"/>
    </w:pPr>
    <w:rPr>
      <w:sz w:val="24"/>
      <w:szCs w:val="24"/>
    </w:rPr>
  </w:style>
  <w:style w:type="paragraph" w:customStyle="1" w:styleId="MdText">
    <w:name w:val="MdText"/>
    <w:qFormat/>
    <w:rPr>
      <w:sz w:val="24"/>
      <w:szCs w:val="24"/>
    </w:rPr>
  </w:style>
  <w:style w:type="paragraph" w:customStyle="1" w:styleId="MdFootnote">
    <w:name w:val="MdFootnote"/>
    <w:qFormat/>
    <w:rPr>
      <w:sz w:val="24"/>
      <w:szCs w:val="24"/>
      <w:vertAlign w:val="superscript"/>
    </w:rPr>
  </w:style>
  <w:style w:type="paragraph" w:customStyle="1" w:styleId="MdListItem">
    <w:name w:val="MdListItem"/>
    <w:qFormat/>
    <w:pPr>
      <w:spacing w:before="60" w:after="60"/>
      <w:ind w:left="720" w:hanging="360"/>
    </w:pPr>
    <w:rPr>
      <w:sz w:val="24"/>
      <w:szCs w:val="24"/>
    </w:rPr>
  </w:style>
  <w:style w:type="paragraph" w:customStyle="1" w:styleId="MdTable">
    <w:name w:val="MdTable"/>
    <w:qFormat/>
    <w:pPr>
      <w:spacing w:before="60" w:after="60"/>
    </w:pPr>
    <w:rPr>
      <w:sz w:val="24"/>
      <w:szCs w:val="24"/>
    </w:r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sz w:val="24"/>
      <w:szCs w:val="24"/>
    </w:rPr>
  </w:style>
  <w:style w:type="paragraph" w:customStyle="1" w:styleId="MdHeading6">
    <w:name w:val="MdHeading6"/>
    <w:qFormat/>
    <w:pPr>
      <w:keepNext/>
      <w:spacing w:before="240" w:after="120"/>
      <w:outlineLvl w:val="5"/>
    </w:pPr>
    <w:rPr>
      <w:i/>
      <w:iCs/>
      <w:sz w:val="24"/>
      <w:szCs w:val="24"/>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a9">
    <w:name w:val="Unresolved Mention"/>
    <w:basedOn w:val="a0"/>
    <w:uiPriority w:val="99"/>
    <w:semiHidden/>
    <w:unhideWhenUsed/>
    <w:rsid w:val="00016B95"/>
    <w:rPr>
      <w:color w:val="605E5C"/>
      <w:shd w:val="clear" w:color="auto" w:fill="E1DFDD"/>
    </w:rPr>
  </w:style>
  <w:style w:type="character" w:styleId="aa">
    <w:name w:val="FollowedHyperlink"/>
    <w:basedOn w:val="a0"/>
    <w:rsid w:val="002A5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Converted Document</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PC Huawei</cp:lastModifiedBy>
  <cp:revision>4</cp:revision>
  <dcterms:created xsi:type="dcterms:W3CDTF">2025-11-09T15:35:00Z</dcterms:created>
  <dcterms:modified xsi:type="dcterms:W3CDTF">2025-11-09T15:51:00Z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71D74C0E3F6F4491953292DD91E4A3B5_12</vt:lpwstr>
  </property>
</Properties>
</file>