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6B949522" w:rsidR="00E72B7B" w:rsidRDefault="0062703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 xml:space="preserve">Людмила Петровна Громова 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33ECF4A0" w:rsidR="00FC264D" w:rsidRDefault="00627036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l.gromova@spbu.r</w:t>
      </w:r>
      <w:r w:rsidR="00F95C7B" w:rsidRPr="00F95C7B">
        <w:rPr>
          <w:rFonts w:eastAsiaTheme="minorHAnsi"/>
          <w:sz w:val="28"/>
          <w:szCs w:val="28"/>
          <w:lang w:val="ru-RU"/>
        </w:rPr>
        <w:t>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05E97AD0" w:rsidR="00E72B7B" w:rsidRDefault="0062703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627036">
        <w:rPr>
          <w:rFonts w:eastAsiaTheme="minorHAnsi"/>
          <w:b/>
          <w:bCs/>
          <w:sz w:val="28"/>
          <w:szCs w:val="28"/>
          <w:lang w:val="ru-RU"/>
        </w:rPr>
        <w:t>Новые запросы на старые ценности: ретроспективный взгляд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1572BCDD" w:rsidR="00E72B7B" w:rsidRDefault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Рассматрива</w:t>
      </w:r>
      <w:r w:rsidR="00134133">
        <w:rPr>
          <w:rFonts w:eastAsiaTheme="minorHAnsi"/>
          <w:sz w:val="28"/>
          <w:szCs w:val="28"/>
          <w:lang w:val="ru-RU"/>
        </w:rPr>
        <w:t>ю</w:t>
      </w:r>
      <w:r w:rsidRPr="00627036">
        <w:rPr>
          <w:rFonts w:eastAsiaTheme="minorHAnsi"/>
          <w:sz w:val="28"/>
          <w:szCs w:val="28"/>
          <w:lang w:val="ru-RU"/>
        </w:rPr>
        <w:t>тся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развитие историко-журналистских взглядов в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движении времени, влияние идей на трансформацию жанровых форм и форматов изданий, социально-историческая обусловленность содержания и формы. Смысловое и формальное отражение характера времени актуализируется в современных подходах к анализу природы журналистики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01CF5C3A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627036" w:rsidRPr="00627036">
        <w:rPr>
          <w:rFonts w:eastAsiaTheme="minorHAnsi"/>
          <w:sz w:val="28"/>
          <w:szCs w:val="28"/>
          <w:lang w:val="ru-RU"/>
        </w:rPr>
        <w:t>журналистика, эволюция, методология, системный подход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61FCD5B" w14:textId="4AD45EF8" w:rsidR="005B6CA8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Журналистики как культурно-исторический феномен вбирает в себя ценностные аспекты творческой деятельности и, сохраняя их, обеспечивает тем самым духовную и профессионально-технологическую преемственность между сосуществующими и сменяющими друг друга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явлениями и достижениями. При этом каждая эпоха актуализирует собственные идейные и эстетические предпочтения, отражающие потребности аудитории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и дух времени. И мы вновь возвращаемся к их осмыслению. </w:t>
      </w:r>
    </w:p>
    <w:p w14:paraId="4F64C48F" w14:textId="283B45A5" w:rsidR="005B6CA8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Эволюция идей и форм, детерминированная характером эпохи, отражалась в наиболее созвучных времени и востребованных аудиторией типах изданий. На эту особенность в своё время обратил внимание В.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Г.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Белинский, который вслед за Гегелем обосновывая известную формулу «Есть идеи времени и есть формы времени», писал о социально-исторической обусловленности содержания и формы. Это, по мнению В. Г. Березиной, «дало Белинскому возможность поставить вопрос не только идейной, но и типологической преемственности в журналистике своего времени» [1: 96].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Взаимообусловленность содержания и формы, их смысловое и формальное </w:t>
      </w:r>
      <w:r w:rsidRPr="00627036">
        <w:rPr>
          <w:rFonts w:eastAsiaTheme="minorHAnsi"/>
          <w:sz w:val="28"/>
          <w:szCs w:val="28"/>
          <w:lang w:val="ru-RU"/>
        </w:rPr>
        <w:lastRenderedPageBreak/>
        <w:t>отражение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характера времени прослежива</w:t>
      </w:r>
      <w:r w:rsidR="005B6CA8">
        <w:rPr>
          <w:rFonts w:eastAsiaTheme="minorHAnsi"/>
          <w:sz w:val="28"/>
          <w:szCs w:val="28"/>
          <w:lang w:val="ru-RU"/>
        </w:rPr>
        <w:t>ю</w:t>
      </w:r>
      <w:r w:rsidRPr="00627036">
        <w:rPr>
          <w:rFonts w:eastAsiaTheme="minorHAnsi"/>
          <w:sz w:val="28"/>
          <w:szCs w:val="28"/>
          <w:lang w:val="ru-RU"/>
        </w:rPr>
        <w:t>тся на всём протяжении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истории журналистики – от ранней, духовной формы до современной, «дигитальной».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</w:p>
    <w:p w14:paraId="31CFD0F3" w14:textId="349FB62B" w:rsidR="005B6CA8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Проблема методологического выбора при изучении истории журналистики в условиях, когда накоплен новый эмпирический материал, обогащается методика исследований, обновляется терминологический аппарат,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вновь правомерно ставится на обсуждение О.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С.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Кругликовой, отмечающей, что «в российской науке наблюдаются некоторые черты кризиса теоретических представлений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об истории журналистики, отражающиеся как в неопределённости методологических подходов к научному исследованию, так и в поиске путей совершенствования методики преподавания этой дисциплины» [4: 42].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Эта проблема не нова. Она активно обсуждалась в повестке дня научных конференций ещё в 1970-1980-е гг. «Неопределённость методологических подходов», думается, как и в исследованиях прошлого века, связана, прежде всего, с междисциплинарным характером самой науки о журналистике и использованием методического инструментария смежных наук. Мы имеем в виду применение старых и современных общенаучных методов.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Методологический подход предполагает комплексный способ исследования, включающий в себя различные методы и процедуры анализа, но составляющий логическое, познавательное единство. В теории познания получили обоснования такие методологические подходы как исторический (воспроизведение эволюции предмета в форме его истории) и логический (воспроизведение эволюции предмета в форме его теории) [3: 9]. </w:t>
      </w:r>
    </w:p>
    <w:p w14:paraId="5ED64DA9" w14:textId="509401BB" w:rsidR="00627036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В последнее десятилетие обозначился общественный запрос на публицистику, размышляющую о смыслах, культурных ценностях, гуманитарных и духовных императивах. Публицистика как общественная саморефлексия в новых жанровых формах и форматах получила распространение в традиционных СМИ и в Интернете, в блогосфере и на различных технологических платформах. Изменил</w:t>
      </w:r>
      <w:r w:rsidR="005B6CA8">
        <w:rPr>
          <w:rFonts w:eastAsiaTheme="minorHAnsi"/>
          <w:sz w:val="28"/>
          <w:szCs w:val="28"/>
          <w:lang w:val="ru-RU"/>
        </w:rPr>
        <w:t>и</w:t>
      </w:r>
      <w:r w:rsidRPr="00627036">
        <w:rPr>
          <w:rFonts w:eastAsiaTheme="minorHAnsi"/>
          <w:sz w:val="28"/>
          <w:szCs w:val="28"/>
          <w:lang w:val="ru-RU"/>
        </w:rPr>
        <w:t xml:space="preserve">сь общество, духовная среда и, по словам Б. Я. Мисонжникова, даже семиотические коды [5: 15]. Активизировался интерес и к изучению тенденций развития медиасреды. </w:t>
      </w:r>
      <w:r w:rsidRPr="00627036">
        <w:rPr>
          <w:rFonts w:eastAsiaTheme="minorHAnsi"/>
          <w:sz w:val="28"/>
          <w:szCs w:val="28"/>
          <w:lang w:val="ru-RU"/>
        </w:rPr>
        <w:lastRenderedPageBreak/>
        <w:t>Соответственно изменениям в историко-журналистских исследованиях применяется новый инструментарий, теоретические подходы, методология исследования. На это обращает внимание А. Ш. Бик-Булатов: «Отечественные теоретики журналистиковедения в последнее время всё чаще вводят в свои исследования метод дискурсного анализа, пришедший в нашу науку из смежных наук: лингвистики и социологии. Очевидны перспективы этого метода, открывающего новые горизонты в исследовании феноменов журналистики (не только её современных тенденций, но и исторических, контекстуальных явлений)» [2: 9]. Обновление методологического инструментария, дискурсивные исследовательские практики являются отражением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общих процессов развития гуманитарной науки и привносят новые подходы в рассмотрение, казалось бы, известных и незыблемых научных истин.</w:t>
      </w:r>
    </w:p>
    <w:p w14:paraId="304B8B79" w14:textId="77777777" w:rsidR="00627036" w:rsidRDefault="00627036" w:rsidP="0062703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14:paraId="29061E67" w14:textId="77777777" w:rsidR="00627036" w:rsidRDefault="00627036" w:rsidP="0062703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2D6DC6DD" w14:textId="19670FD4" w:rsidR="00627036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Березина В.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Г. Белинский</w:t>
      </w:r>
      <w:r w:rsidR="005B6CA8">
        <w:rPr>
          <w:rFonts w:eastAsiaTheme="minorHAnsi"/>
          <w:sz w:val="28"/>
          <w:szCs w:val="28"/>
          <w:lang w:val="ru-RU"/>
        </w:rPr>
        <w:t>-</w:t>
      </w:r>
      <w:r w:rsidRPr="00627036">
        <w:rPr>
          <w:rFonts w:eastAsiaTheme="minorHAnsi"/>
          <w:sz w:val="28"/>
          <w:szCs w:val="28"/>
          <w:lang w:val="ru-RU"/>
        </w:rPr>
        <w:t>журналист (Теория. История. Практика) / под ред. Л.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П.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Громовой. СПб.: Роза мира, 2005. </w:t>
      </w:r>
    </w:p>
    <w:p w14:paraId="21F5E138" w14:textId="77777777" w:rsidR="00627036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Бик-Булатов А.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Ш. История отечественной публицистики XIX-XX веков: дискурсы нигилизма. Казань: Изд-во Казанск. ун-та, 2010. </w:t>
      </w:r>
    </w:p>
    <w:p w14:paraId="7450CDE5" w14:textId="1DB3AC5C" w:rsidR="00627036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Корнилов Е.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А. Проблемы методологии исследования журналистики // История журналистики как объект исследования и учебная дисциплина. Вып.</w:t>
      </w:r>
      <w:r w:rsidR="005B6CA8"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1. Ростов </w:t>
      </w:r>
      <w:r w:rsidR="005B6CA8">
        <w:rPr>
          <w:rFonts w:eastAsiaTheme="minorHAnsi"/>
          <w:sz w:val="28"/>
          <w:szCs w:val="28"/>
          <w:lang w:val="ru-RU"/>
        </w:rPr>
        <w:t>н</w:t>
      </w:r>
      <w:r w:rsidRPr="00627036">
        <w:rPr>
          <w:rFonts w:eastAsiaTheme="minorHAnsi"/>
          <w:sz w:val="28"/>
          <w:szCs w:val="28"/>
          <w:lang w:val="ru-RU"/>
        </w:rPr>
        <w:t>/Д.</w:t>
      </w:r>
      <w:r w:rsidR="004A5533">
        <w:rPr>
          <w:rFonts w:eastAsiaTheme="minorHAnsi"/>
          <w:sz w:val="28"/>
          <w:szCs w:val="28"/>
          <w:lang w:val="ru-RU"/>
        </w:rPr>
        <w:t xml:space="preserve">: </w:t>
      </w:r>
      <w:r w:rsidR="004A5533" w:rsidRPr="004A5533">
        <w:rPr>
          <w:rFonts w:eastAsiaTheme="minorHAnsi"/>
          <w:sz w:val="28"/>
          <w:szCs w:val="28"/>
          <w:lang w:val="ru-RU"/>
        </w:rPr>
        <w:t>Рост</w:t>
      </w:r>
      <w:r w:rsidR="004A5533">
        <w:rPr>
          <w:rFonts w:eastAsiaTheme="minorHAnsi"/>
          <w:sz w:val="28"/>
          <w:szCs w:val="28"/>
          <w:lang w:val="ru-RU"/>
        </w:rPr>
        <w:t xml:space="preserve">. </w:t>
      </w:r>
      <w:r w:rsidR="004A5533" w:rsidRPr="004A5533">
        <w:rPr>
          <w:rFonts w:eastAsiaTheme="minorHAnsi"/>
          <w:sz w:val="28"/>
          <w:szCs w:val="28"/>
          <w:lang w:val="ru-RU"/>
        </w:rPr>
        <w:t>ун-т</w:t>
      </w:r>
      <w:r w:rsidRPr="00627036">
        <w:rPr>
          <w:rFonts w:eastAsiaTheme="minorHAnsi"/>
          <w:sz w:val="28"/>
          <w:szCs w:val="28"/>
          <w:lang w:val="ru-RU"/>
        </w:rPr>
        <w:t xml:space="preserve">, 1997. </w:t>
      </w:r>
      <w:r w:rsidR="006E0A4C">
        <w:rPr>
          <w:rFonts w:eastAsiaTheme="minorHAnsi"/>
          <w:sz w:val="28"/>
          <w:szCs w:val="28"/>
          <w:lang w:val="ru-RU"/>
        </w:rPr>
        <w:t xml:space="preserve">С. </w:t>
      </w:r>
      <w:r w:rsidR="006E0A4C" w:rsidRPr="006E0A4C">
        <w:rPr>
          <w:rFonts w:eastAsiaTheme="minorHAnsi"/>
          <w:sz w:val="28"/>
          <w:szCs w:val="28"/>
          <w:lang w:val="ru-RU"/>
        </w:rPr>
        <w:t>8</w:t>
      </w:r>
      <w:r w:rsidR="00C2301D" w:rsidRPr="00C2301D">
        <w:rPr>
          <w:rFonts w:eastAsiaTheme="minorHAnsi"/>
          <w:sz w:val="28"/>
          <w:szCs w:val="28"/>
          <w:lang w:val="ru-RU"/>
        </w:rPr>
        <w:t>–</w:t>
      </w:r>
      <w:r w:rsidR="006E0A4C" w:rsidRPr="006E0A4C">
        <w:rPr>
          <w:rFonts w:eastAsiaTheme="minorHAnsi"/>
          <w:sz w:val="28"/>
          <w:szCs w:val="28"/>
          <w:lang w:val="ru-RU"/>
        </w:rPr>
        <w:t>10.</w:t>
      </w:r>
    </w:p>
    <w:p w14:paraId="71677B10" w14:textId="6497786A" w:rsidR="00627036" w:rsidRDefault="00627036" w:rsidP="0062703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4.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Кругликова О.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 xml:space="preserve">С. Теоретические компоненты истории журналистики // Теория журналистики в России / под ред. С. Г. Корконосенко. СПб.: Алетейя, 2018. </w:t>
      </w:r>
      <w:r w:rsidR="00C2301D" w:rsidRPr="00C2301D">
        <w:rPr>
          <w:rFonts w:eastAsiaTheme="minorHAnsi"/>
          <w:sz w:val="28"/>
          <w:szCs w:val="28"/>
          <w:lang w:val="ru-RU"/>
        </w:rPr>
        <w:t>С. 42–65.</w:t>
      </w:r>
    </w:p>
    <w:p w14:paraId="6958A7A8" w14:textId="7257B749" w:rsidR="00E72B7B" w:rsidRPr="00627036" w:rsidRDefault="00627036" w:rsidP="0062703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627036">
        <w:rPr>
          <w:rFonts w:eastAsiaTheme="minorHAnsi"/>
          <w:sz w:val="28"/>
          <w:szCs w:val="28"/>
          <w:lang w:val="ru-RU"/>
        </w:rPr>
        <w:t>5.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27036">
        <w:rPr>
          <w:rFonts w:eastAsiaTheme="minorHAnsi"/>
          <w:sz w:val="28"/>
          <w:szCs w:val="28"/>
          <w:lang w:val="ru-RU"/>
        </w:rPr>
        <w:t>Публицистика в современном обществе: матер. науч</w:t>
      </w:r>
      <w:r w:rsidR="006E0A4C">
        <w:rPr>
          <w:rFonts w:eastAsiaTheme="minorHAnsi"/>
          <w:sz w:val="28"/>
          <w:szCs w:val="28"/>
          <w:lang w:val="ru-RU"/>
        </w:rPr>
        <w:t>но</w:t>
      </w:r>
      <w:r w:rsidRPr="00627036">
        <w:rPr>
          <w:rFonts w:eastAsiaTheme="minorHAnsi"/>
          <w:sz w:val="28"/>
          <w:szCs w:val="28"/>
          <w:lang w:val="ru-RU"/>
        </w:rPr>
        <w:t>-практ</w:t>
      </w:r>
      <w:r w:rsidR="006E0A4C">
        <w:rPr>
          <w:rFonts w:eastAsiaTheme="minorHAnsi"/>
          <w:sz w:val="28"/>
          <w:szCs w:val="28"/>
          <w:lang w:val="ru-RU"/>
        </w:rPr>
        <w:t>ич</w:t>
      </w:r>
      <w:r w:rsidRPr="00627036">
        <w:rPr>
          <w:rFonts w:eastAsiaTheme="minorHAnsi"/>
          <w:sz w:val="28"/>
          <w:szCs w:val="28"/>
          <w:lang w:val="ru-RU"/>
        </w:rPr>
        <w:t>. семинара «Современная периодическая печать в контексте коммуникативных процессов (трагедия публицистики в информационном обществе)» (14 нояб. 2013 г., СПбГУ) / отв. ред. Б. Я. Мисонжников. СПб.: СПбГУ, 2014.</w:t>
      </w:r>
      <w:r w:rsidR="00C2301D">
        <w:rPr>
          <w:rFonts w:eastAsiaTheme="minorHAnsi"/>
          <w:sz w:val="28"/>
          <w:szCs w:val="28"/>
          <w:lang w:val="ru-RU"/>
        </w:rPr>
        <w:t xml:space="preserve"> </w:t>
      </w:r>
    </w:p>
    <w:sectPr w:rsidR="00E72B7B" w:rsidRPr="0062703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34133"/>
    <w:rsid w:val="0017220E"/>
    <w:rsid w:val="002A578F"/>
    <w:rsid w:val="002F72F9"/>
    <w:rsid w:val="0034766E"/>
    <w:rsid w:val="00393B9E"/>
    <w:rsid w:val="003D6E66"/>
    <w:rsid w:val="00421929"/>
    <w:rsid w:val="004A5533"/>
    <w:rsid w:val="004C323F"/>
    <w:rsid w:val="005B6CA8"/>
    <w:rsid w:val="0061063C"/>
    <w:rsid w:val="00627036"/>
    <w:rsid w:val="006E0A4C"/>
    <w:rsid w:val="007254C4"/>
    <w:rsid w:val="00727925"/>
    <w:rsid w:val="007D569D"/>
    <w:rsid w:val="008863D2"/>
    <w:rsid w:val="008C7A68"/>
    <w:rsid w:val="00A771B7"/>
    <w:rsid w:val="00AA2BBB"/>
    <w:rsid w:val="00AA4EBC"/>
    <w:rsid w:val="00BA5423"/>
    <w:rsid w:val="00C2301D"/>
    <w:rsid w:val="00D50B60"/>
    <w:rsid w:val="00D56F90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2025-11-13T08:41:00Z</dcterms:created>
  <dcterms:modified xsi:type="dcterms:W3CDTF">2025-11-13T19:08:00Z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