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3E7EC" w14:textId="77777777" w:rsidR="00BC03D7" w:rsidRDefault="00BC03D7" w:rsidP="00BC03D7">
      <w:pPr>
        <w:spacing w:line="360" w:lineRule="auto"/>
        <w:ind w:firstLine="709"/>
        <w:contextualSpacing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Мария Сергеевна</w:t>
      </w:r>
      <w:r w:rsidRPr="00BC03D7">
        <w:rPr>
          <w:rFonts w:eastAsiaTheme="minorHAnsi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 xml:space="preserve">Жарова </w:t>
      </w:r>
    </w:p>
    <w:p w14:paraId="58C50E0B" w14:textId="77777777" w:rsidR="00BC03D7" w:rsidRDefault="00BC03D7" w:rsidP="00BC03D7">
      <w:pPr>
        <w:spacing w:line="360" w:lineRule="auto"/>
        <w:ind w:firstLine="709"/>
        <w:contextualSpacing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Санкт-Петербургский государственный университет (Санкт-Петербург)</w:t>
      </w:r>
    </w:p>
    <w:p w14:paraId="06D4FFCB" w14:textId="77777777" w:rsidR="00820046" w:rsidRDefault="00BC03D7" w:rsidP="00820046">
      <w:pPr>
        <w:spacing w:line="360" w:lineRule="auto"/>
        <w:ind w:firstLine="709"/>
        <w:contextualSpacing/>
        <w:rPr>
          <w:rFonts w:eastAsiaTheme="minorHAnsi"/>
          <w:sz w:val="28"/>
          <w:szCs w:val="28"/>
          <w:lang w:val="ru-RU"/>
        </w:rPr>
      </w:pPr>
      <w:r w:rsidRPr="007916C0">
        <w:rPr>
          <w:rFonts w:eastAsiaTheme="minorHAnsi"/>
          <w:sz w:val="28"/>
          <w:szCs w:val="28"/>
          <w:lang w:val="ru-RU"/>
        </w:rPr>
        <w:t xml:space="preserve">Научный руководитель: </w:t>
      </w:r>
      <w:r>
        <w:rPr>
          <w:rFonts w:eastAsiaTheme="minorHAnsi"/>
          <w:sz w:val="28"/>
          <w:szCs w:val="28"/>
          <w:lang w:val="ru-RU"/>
        </w:rPr>
        <w:t>канд</w:t>
      </w:r>
      <w:r w:rsidRPr="00BC03D7">
        <w:rPr>
          <w:rFonts w:eastAsiaTheme="minorHAnsi"/>
          <w:lang w:val="ru-RU"/>
        </w:rPr>
        <w:t>.</w:t>
      </w:r>
      <w:r>
        <w:rPr>
          <w:rFonts w:eastAsiaTheme="minorHAnsi"/>
          <w:sz w:val="28"/>
          <w:szCs w:val="28"/>
          <w:lang w:val="ru-RU"/>
        </w:rPr>
        <w:t xml:space="preserve"> филос</w:t>
      </w:r>
      <w:r w:rsidRPr="00BC03D7">
        <w:rPr>
          <w:rFonts w:eastAsiaTheme="minorHAnsi"/>
          <w:lang w:val="ru-RU"/>
        </w:rPr>
        <w:t>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BC03D7">
        <w:rPr>
          <w:rFonts w:eastAsiaTheme="minorHAnsi"/>
          <w:lang w:val="ru-RU"/>
        </w:rPr>
        <w:t>Н.</w:t>
      </w:r>
      <w:r>
        <w:rPr>
          <w:rFonts w:eastAsiaTheme="minorHAnsi"/>
          <w:sz w:val="28"/>
          <w:szCs w:val="28"/>
          <w:lang w:val="ru-RU"/>
        </w:rPr>
        <w:t>, доц</w:t>
      </w:r>
      <w:r w:rsidRPr="00BC03D7">
        <w:rPr>
          <w:rFonts w:eastAsiaTheme="minorHAnsi"/>
          <w:lang w:val="ru-RU"/>
        </w:rPr>
        <w:t>.</w:t>
      </w:r>
      <w:r w:rsidRPr="007916C0">
        <w:rPr>
          <w:rFonts w:eastAsiaTheme="minorHAnsi"/>
          <w:sz w:val="28"/>
          <w:szCs w:val="28"/>
          <w:lang w:val="ru-RU"/>
        </w:rPr>
        <w:t xml:space="preserve"> В.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7916C0">
        <w:rPr>
          <w:rFonts w:eastAsiaTheme="minorHAnsi"/>
          <w:sz w:val="28"/>
          <w:szCs w:val="28"/>
          <w:lang w:val="ru-RU"/>
        </w:rPr>
        <w:t>Ю. Перов</w:t>
      </w:r>
    </w:p>
    <w:p w14:paraId="0742BBCA" w14:textId="0BD5095E" w:rsidR="00820046" w:rsidRDefault="00820046" w:rsidP="00820046">
      <w:pPr>
        <w:spacing w:line="360" w:lineRule="auto"/>
        <w:ind w:firstLine="709"/>
        <w:contextualSpacing/>
        <w:rPr>
          <w:rFonts w:eastAsiaTheme="minorHAnsi"/>
          <w:sz w:val="28"/>
          <w:szCs w:val="28"/>
          <w:lang w:val="ru-RU"/>
        </w:rPr>
      </w:pPr>
      <w:r w:rsidRPr="00B31C58">
        <w:rPr>
          <w:rFonts w:eastAsiaTheme="minorHAnsi"/>
          <w:sz w:val="28"/>
          <w:szCs w:val="28"/>
          <w:lang w:val="ru-RU"/>
        </w:rPr>
        <w:t>st120468@student.spbu.ru</w:t>
      </w:r>
    </w:p>
    <w:p w14:paraId="24BD250A" w14:textId="77777777" w:rsidR="00820046" w:rsidRDefault="00820046" w:rsidP="00BC03D7">
      <w:pPr>
        <w:spacing w:line="360" w:lineRule="auto"/>
        <w:ind w:firstLine="709"/>
        <w:contextualSpacing/>
        <w:rPr>
          <w:rFonts w:eastAsiaTheme="minorHAnsi"/>
          <w:sz w:val="28"/>
          <w:szCs w:val="28"/>
          <w:lang w:val="ru-RU"/>
        </w:rPr>
      </w:pPr>
    </w:p>
    <w:p w14:paraId="3672E340" w14:textId="77777777" w:rsidR="00BC03D7" w:rsidRDefault="00BC03D7" w:rsidP="00BC03D7">
      <w:pPr>
        <w:spacing w:line="360" w:lineRule="auto"/>
        <w:ind w:firstLine="709"/>
        <w:contextualSpacing/>
        <w:rPr>
          <w:rFonts w:eastAsiaTheme="minorHAnsi"/>
          <w:sz w:val="28"/>
          <w:szCs w:val="28"/>
          <w:lang w:val="ru-RU"/>
        </w:rPr>
      </w:pPr>
    </w:p>
    <w:p w14:paraId="7084E8E9" w14:textId="77777777" w:rsidR="00BC03D7" w:rsidRDefault="00BC03D7" w:rsidP="00BC03D7">
      <w:pPr>
        <w:spacing w:line="360" w:lineRule="auto"/>
        <w:ind w:firstLine="709"/>
        <w:contextualSpacing/>
        <w:rPr>
          <w:rFonts w:eastAsiaTheme="minorHAnsi"/>
          <w:b/>
          <w:sz w:val="28"/>
          <w:szCs w:val="28"/>
          <w:lang w:val="ru-RU"/>
        </w:rPr>
      </w:pPr>
      <w:r w:rsidRPr="002C4E07">
        <w:rPr>
          <w:rFonts w:eastAsiaTheme="minorHAnsi"/>
          <w:b/>
          <w:sz w:val="28"/>
          <w:szCs w:val="28"/>
          <w:lang w:val="ru-RU"/>
        </w:rPr>
        <w:t>Дети в медиа: проблемы цифровой безопасности, эксплуатации и идентичности</w:t>
      </w:r>
    </w:p>
    <w:p w14:paraId="35E82A9B" w14:textId="77777777" w:rsidR="00BC03D7" w:rsidRDefault="00BC03D7" w:rsidP="00BC03D7">
      <w:pPr>
        <w:spacing w:line="360" w:lineRule="auto"/>
        <w:ind w:firstLine="709"/>
        <w:contextualSpacing/>
        <w:jc w:val="center"/>
        <w:rPr>
          <w:rFonts w:eastAsiaTheme="minorHAnsi"/>
          <w:b/>
          <w:sz w:val="28"/>
          <w:szCs w:val="28"/>
          <w:lang w:val="ru-RU"/>
        </w:rPr>
      </w:pPr>
    </w:p>
    <w:p w14:paraId="26B74ECE" w14:textId="77777777" w:rsidR="00BC03D7" w:rsidRPr="003F10B1" w:rsidRDefault="00BC03D7" w:rsidP="00BC03D7">
      <w:pPr>
        <w:spacing w:line="360" w:lineRule="auto"/>
        <w:ind w:firstLine="709"/>
        <w:contextualSpacing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3F10B1">
        <w:rPr>
          <w:rFonts w:eastAsiaTheme="minorHAnsi"/>
          <w:i/>
          <w:iCs/>
          <w:sz w:val="28"/>
          <w:szCs w:val="28"/>
          <w:lang w:val="ru-RU"/>
        </w:rPr>
        <w:t xml:space="preserve">Работа посвящена этическим рискам привлечения несовершеннолетних к производству медиаконтента. Демонстрируется наличие угроз для цифровой безопасности и приватности </w:t>
      </w:r>
      <w:proofErr w:type="spellStart"/>
      <w:r w:rsidRPr="003F10B1">
        <w:rPr>
          <w:rFonts w:eastAsiaTheme="minorHAnsi"/>
          <w:i/>
          <w:iCs/>
          <w:sz w:val="28"/>
          <w:szCs w:val="28"/>
          <w:lang w:val="ru-RU"/>
        </w:rPr>
        <w:t>кидфлюенсеров</w:t>
      </w:r>
      <w:proofErr w:type="spellEnd"/>
      <w:r w:rsidRPr="003F10B1">
        <w:rPr>
          <w:rFonts w:eastAsiaTheme="minorHAnsi"/>
          <w:i/>
          <w:iCs/>
          <w:sz w:val="28"/>
          <w:szCs w:val="28"/>
          <w:lang w:val="ru-RU"/>
        </w:rPr>
        <w:t>, рассматриваются проблемы конструирования их идентичности, а также вопрос законодательного регулирования детского блогинга.</w:t>
      </w:r>
    </w:p>
    <w:p w14:paraId="61570E26" w14:textId="77777777" w:rsidR="00BC03D7" w:rsidRPr="003F10B1" w:rsidRDefault="00BC03D7" w:rsidP="00BC03D7">
      <w:pPr>
        <w:spacing w:line="360" w:lineRule="auto"/>
        <w:ind w:firstLine="709"/>
        <w:contextualSpacing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3F10B1">
        <w:rPr>
          <w:rFonts w:eastAsiaTheme="minorHAnsi"/>
          <w:i/>
          <w:iCs/>
          <w:sz w:val="28"/>
          <w:szCs w:val="28"/>
          <w:lang w:val="ru-RU"/>
        </w:rPr>
        <w:t xml:space="preserve">Ключевые слова: </w:t>
      </w:r>
      <w:proofErr w:type="spellStart"/>
      <w:r w:rsidRPr="003F10B1">
        <w:rPr>
          <w:rFonts w:eastAsiaTheme="minorHAnsi"/>
          <w:i/>
          <w:iCs/>
          <w:sz w:val="28"/>
          <w:szCs w:val="28"/>
          <w:lang w:val="ru-RU"/>
        </w:rPr>
        <w:t>кидфлюенсеры</w:t>
      </w:r>
      <w:proofErr w:type="spellEnd"/>
      <w:r w:rsidRPr="003F10B1">
        <w:rPr>
          <w:rFonts w:eastAsiaTheme="minorHAnsi"/>
          <w:i/>
          <w:iCs/>
          <w:sz w:val="28"/>
          <w:szCs w:val="28"/>
          <w:lang w:val="ru-RU"/>
        </w:rPr>
        <w:t>, цифровая безопасность, идентичность, эксплуатация.</w:t>
      </w:r>
    </w:p>
    <w:p w14:paraId="63C6B56C" w14:textId="77777777" w:rsidR="00BC03D7" w:rsidRDefault="00BC03D7" w:rsidP="00BC03D7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</w:p>
    <w:p w14:paraId="592AE678" w14:textId="77777777" w:rsidR="00BC03D7" w:rsidRDefault="00BC03D7" w:rsidP="00BC03D7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2C4E07">
        <w:rPr>
          <w:rFonts w:eastAsiaTheme="minorHAnsi"/>
          <w:sz w:val="28"/>
          <w:szCs w:val="28"/>
          <w:lang w:val="ru-RU"/>
        </w:rPr>
        <w:t xml:space="preserve">В современных условиях распространения цифровых технологий и стремительного развития медиа практически каждый человек может самостоятельно создавать контент и транслировать его в сети Интернет. Доступ к этому имеют и несовершеннолетние, а порой сами родители привлекают своих детей к созданию фото- и видеоматериалов для социальных сетей. Сегодня мы наблюдаем огромное количество контента, главными акторами в котором выступают несовершеннолетние разных возрастов — от младенцев до подростков. Появился даже специальный термин для их обозначения — </w:t>
      </w:r>
      <w:proofErr w:type="spellStart"/>
      <w:r w:rsidRPr="002C4E07">
        <w:rPr>
          <w:rFonts w:eastAsiaTheme="minorHAnsi"/>
          <w:sz w:val="28"/>
          <w:szCs w:val="28"/>
          <w:lang w:val="ru-RU"/>
        </w:rPr>
        <w:t>кидфлюенсеры</w:t>
      </w:r>
      <w:proofErr w:type="spellEnd"/>
      <w:r w:rsidRPr="002C4E07">
        <w:rPr>
          <w:rFonts w:eastAsiaTheme="minorHAnsi"/>
          <w:sz w:val="28"/>
          <w:szCs w:val="28"/>
          <w:lang w:val="ru-RU"/>
        </w:rPr>
        <w:t xml:space="preserve"> (от англ. </w:t>
      </w:r>
      <w:proofErr w:type="spellStart"/>
      <w:r w:rsidRPr="002C4E07">
        <w:rPr>
          <w:rFonts w:eastAsiaTheme="minorHAnsi"/>
          <w:sz w:val="28"/>
          <w:szCs w:val="28"/>
          <w:lang w:val="ru-RU"/>
        </w:rPr>
        <w:t>kid</w:t>
      </w:r>
      <w:proofErr w:type="spellEnd"/>
      <w:r w:rsidRPr="002C4E07">
        <w:rPr>
          <w:rFonts w:eastAsiaTheme="minorHAnsi"/>
          <w:sz w:val="28"/>
          <w:szCs w:val="28"/>
          <w:lang w:val="ru-RU"/>
        </w:rPr>
        <w:t xml:space="preserve"> – «ребёнок» и </w:t>
      </w:r>
      <w:proofErr w:type="spellStart"/>
      <w:r w:rsidRPr="002C4E07">
        <w:rPr>
          <w:rFonts w:eastAsiaTheme="minorHAnsi"/>
          <w:sz w:val="28"/>
          <w:szCs w:val="28"/>
          <w:lang w:val="ru-RU"/>
        </w:rPr>
        <w:t>influence</w:t>
      </w:r>
      <w:proofErr w:type="spellEnd"/>
      <w:r w:rsidRPr="002C4E07">
        <w:rPr>
          <w:rFonts w:eastAsiaTheme="minorHAnsi"/>
          <w:sz w:val="28"/>
          <w:szCs w:val="28"/>
          <w:lang w:val="ru-RU"/>
        </w:rPr>
        <w:t xml:space="preserve"> – «влиять»). Их публикации действительно пользуются спросом, в связи с чем эта деятельность становится весьма коммерчески выгодной. Однако участие в ней несовершеннолетних неизбежно вызывает вопросы о том, насколько это допус</w:t>
      </w:r>
      <w:r>
        <w:rPr>
          <w:rFonts w:eastAsiaTheme="minorHAnsi"/>
          <w:sz w:val="28"/>
          <w:szCs w:val="28"/>
          <w:lang w:val="ru-RU"/>
        </w:rPr>
        <w:t xml:space="preserve">тимо с этической точки зрения. </w:t>
      </w:r>
    </w:p>
    <w:p w14:paraId="5DD87B8F" w14:textId="77777777" w:rsidR="00BC03D7" w:rsidRDefault="00BC03D7" w:rsidP="00BC03D7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2C4E07">
        <w:rPr>
          <w:rFonts w:eastAsiaTheme="minorHAnsi"/>
          <w:sz w:val="28"/>
          <w:szCs w:val="28"/>
          <w:lang w:val="ru-RU"/>
        </w:rPr>
        <w:lastRenderedPageBreak/>
        <w:t>Так, нельзя сказать, что несовершеннолетние могут дать осознанное согласие на участие в такой деятельности. Младенцы не могут озвучить его вовсе, маленькие дети и подростки зачастую не способны противостоять воле родителей или же не в полной мере понимают, с какими рисками им придётся столкнуться. А поскольку такая деятельность может стать полноценным источником заработ</w:t>
      </w:r>
      <w:r>
        <w:rPr>
          <w:rFonts w:eastAsiaTheme="minorHAnsi"/>
          <w:sz w:val="28"/>
          <w:szCs w:val="28"/>
          <w:lang w:val="ru-RU"/>
        </w:rPr>
        <w:t xml:space="preserve">ка для всей семьи, привлечение </w:t>
      </w:r>
      <w:r w:rsidRPr="002C4E07">
        <w:rPr>
          <w:rFonts w:eastAsiaTheme="minorHAnsi"/>
          <w:sz w:val="28"/>
          <w:szCs w:val="28"/>
          <w:lang w:val="ru-RU"/>
        </w:rPr>
        <w:t xml:space="preserve">к ней несовершеннолетних можно назвать эксплуатацией детского труда. Сегодня такое положение дел нередко вызывает общественный резонанс и даже становится поводом для дискуссий о необходимости законодательного запрета </w:t>
      </w:r>
      <w:r>
        <w:rPr>
          <w:rFonts w:eastAsiaTheme="minorHAnsi"/>
          <w:sz w:val="28"/>
          <w:szCs w:val="28"/>
          <w:lang w:val="ru-RU"/>
        </w:rPr>
        <w:t xml:space="preserve">эксплуатации детей в блогинге. </w:t>
      </w:r>
    </w:p>
    <w:p w14:paraId="5509015A" w14:textId="77777777" w:rsidR="00BC03D7" w:rsidRDefault="00BC03D7" w:rsidP="00BC03D7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2C4E07">
        <w:rPr>
          <w:rFonts w:eastAsiaTheme="minorHAnsi"/>
          <w:sz w:val="28"/>
          <w:szCs w:val="28"/>
          <w:lang w:val="ru-RU"/>
        </w:rPr>
        <w:t xml:space="preserve">Например, в штате Иллинойс, США с 1 июля 2024 года дети до 16 лет, являющиеся </w:t>
      </w:r>
      <w:proofErr w:type="spellStart"/>
      <w:r w:rsidRPr="002C4E07">
        <w:rPr>
          <w:rFonts w:eastAsiaTheme="minorHAnsi"/>
          <w:sz w:val="28"/>
          <w:szCs w:val="28"/>
          <w:lang w:val="ru-RU"/>
        </w:rPr>
        <w:t>инфлюенсерами</w:t>
      </w:r>
      <w:proofErr w:type="spellEnd"/>
      <w:r w:rsidRPr="002C4E07">
        <w:rPr>
          <w:rFonts w:eastAsiaTheme="minorHAnsi"/>
          <w:sz w:val="28"/>
          <w:szCs w:val="28"/>
          <w:lang w:val="ru-RU"/>
        </w:rPr>
        <w:t xml:space="preserve"> в социальных сетях или появляющиеся в контенте своих родителей, имеют право на определенный процент от дохода от этого контента, размер которого будет зависеть от количества их публикаций. Эти средства должны быть помещены в трастовый фонд до достижения ребенком 18 лет. В противном случае, согласно закону, ребенок имеет</w:t>
      </w:r>
      <w:r>
        <w:rPr>
          <w:rFonts w:eastAsiaTheme="minorHAnsi"/>
          <w:sz w:val="28"/>
          <w:szCs w:val="28"/>
          <w:lang w:val="ru-RU"/>
        </w:rPr>
        <w:t xml:space="preserve"> право подать в суд [1: 57-58].</w:t>
      </w:r>
    </w:p>
    <w:p w14:paraId="5585C2D2" w14:textId="77777777" w:rsidR="00BC03D7" w:rsidRDefault="00BC03D7" w:rsidP="00BC03D7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2C4E07">
        <w:rPr>
          <w:rFonts w:eastAsiaTheme="minorHAnsi"/>
          <w:sz w:val="28"/>
          <w:szCs w:val="28"/>
          <w:lang w:val="ru-RU"/>
        </w:rPr>
        <w:t>Законодательное регулирование действительно может уберечь несовершеннолетних от нарушения их экономических прав, однако это не решает проблем, связанных с влиянием присутствия детей в медиа на</w:t>
      </w:r>
      <w:r>
        <w:rPr>
          <w:rFonts w:eastAsiaTheme="minorHAnsi"/>
          <w:sz w:val="28"/>
          <w:szCs w:val="28"/>
          <w:lang w:val="ru-RU"/>
        </w:rPr>
        <w:t xml:space="preserve"> формирование их идентичности. </w:t>
      </w:r>
    </w:p>
    <w:p w14:paraId="078FC610" w14:textId="77777777" w:rsidR="00BC03D7" w:rsidRPr="002C4E07" w:rsidRDefault="00BC03D7" w:rsidP="00BC03D7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2C4E07">
        <w:rPr>
          <w:rFonts w:eastAsiaTheme="minorHAnsi"/>
          <w:sz w:val="28"/>
          <w:szCs w:val="28"/>
          <w:lang w:val="ru-RU"/>
        </w:rPr>
        <w:t>Во-первых, их цифровая безопасность оказывается под угрозой: личные данные несовершеннолетних выносятся в публичное поле, что может представлять реальную опасность для их жизни, физического и психического здоровья. Кроме того, дети могут столкнуться с кибербуллингом, что может</w:t>
      </w:r>
      <w:r>
        <w:rPr>
          <w:rFonts w:eastAsiaTheme="minorHAnsi"/>
          <w:sz w:val="28"/>
          <w:szCs w:val="28"/>
          <w:lang w:val="ru-RU"/>
        </w:rPr>
        <w:t xml:space="preserve"> стать причиной психоэмоциональных проблем (депрессия, самоповреждение и т.д.)</w:t>
      </w:r>
      <w:r w:rsidRPr="002C4E07">
        <w:rPr>
          <w:rFonts w:eastAsiaTheme="minorHAnsi"/>
          <w:sz w:val="28"/>
          <w:szCs w:val="28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 xml:space="preserve">[2]. </w:t>
      </w:r>
      <w:r w:rsidRPr="002C4E07">
        <w:rPr>
          <w:rFonts w:eastAsiaTheme="minorHAnsi"/>
          <w:sz w:val="28"/>
          <w:szCs w:val="28"/>
          <w:lang w:val="ru-RU"/>
        </w:rPr>
        <w:t>Во</w:t>
      </w:r>
      <w:r>
        <w:rPr>
          <w:rFonts w:eastAsiaTheme="minorHAnsi"/>
          <w:sz w:val="28"/>
          <w:szCs w:val="28"/>
          <w:lang w:val="ru-RU"/>
        </w:rPr>
        <w:t>-вторых, в процессе создания контента</w:t>
      </w:r>
      <w:r w:rsidRPr="002C4E07">
        <w:rPr>
          <w:rFonts w:eastAsiaTheme="minorHAnsi"/>
          <w:sz w:val="28"/>
          <w:szCs w:val="28"/>
          <w:lang w:val="ru-RU"/>
        </w:rPr>
        <w:t xml:space="preserve"> ребёнок воспринимается родителями как проект, над которым постоянно нужно работать — ему недостаточно быть просто самим собой. В таких обстоятельствах родители уже не так хорошо чувствуют нужды своих детей, поскольку вся их жизнь </w:t>
      </w:r>
      <w:r w:rsidRPr="002C4E07">
        <w:rPr>
          <w:rFonts w:eastAsiaTheme="minorHAnsi"/>
          <w:sz w:val="28"/>
          <w:szCs w:val="28"/>
          <w:lang w:val="ru-RU"/>
        </w:rPr>
        <w:lastRenderedPageBreak/>
        <w:t xml:space="preserve">оказывается подчинена интересам блога. Даже личные переживания ребёнка порой становятся источником для создания контента, в связи с чем несовершеннолетний лишается приватности даже на уровне своих чувств.  Так, в результате участия детей в </w:t>
      </w:r>
      <w:proofErr w:type="spellStart"/>
      <w:r w:rsidRPr="002C4E07">
        <w:rPr>
          <w:rFonts w:eastAsiaTheme="minorHAnsi"/>
          <w:sz w:val="28"/>
          <w:szCs w:val="28"/>
          <w:lang w:val="ru-RU"/>
        </w:rPr>
        <w:t>медиапроизводстве</w:t>
      </w:r>
      <w:proofErr w:type="spellEnd"/>
      <w:r w:rsidRPr="002C4E07">
        <w:rPr>
          <w:rFonts w:eastAsiaTheme="minorHAnsi"/>
          <w:sz w:val="28"/>
          <w:szCs w:val="28"/>
          <w:lang w:val="ru-RU"/>
        </w:rPr>
        <w:t xml:space="preserve"> они утрачивают свою аутентичность как способность оставаться верным себе. Личность ребёнка выстраивается через призму того, как родители воспринимают (и хотят, чтобы </w:t>
      </w:r>
      <w:r>
        <w:rPr>
          <w:rFonts w:eastAsiaTheme="minorHAnsi"/>
          <w:sz w:val="28"/>
          <w:szCs w:val="28"/>
          <w:lang w:val="ru-RU"/>
        </w:rPr>
        <w:t>другие воспринимали) ребё</w:t>
      </w:r>
      <w:r w:rsidRPr="002C4E07">
        <w:rPr>
          <w:rFonts w:eastAsiaTheme="minorHAnsi"/>
          <w:sz w:val="28"/>
          <w:szCs w:val="28"/>
          <w:lang w:val="ru-RU"/>
        </w:rPr>
        <w:t xml:space="preserve">нка, какой образ окажется привлекательным для последователей и коммерческих партнеров [3]. </w:t>
      </w:r>
    </w:p>
    <w:p w14:paraId="31AE0A23" w14:textId="77777777" w:rsidR="00BC03D7" w:rsidRDefault="00BC03D7" w:rsidP="00BC03D7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2C4E07">
        <w:rPr>
          <w:rFonts w:eastAsiaTheme="minorHAnsi"/>
          <w:sz w:val="28"/>
          <w:szCs w:val="28"/>
          <w:lang w:val="ru-RU"/>
        </w:rPr>
        <w:t xml:space="preserve">Привлечение несовершеннолетних к созданию контента в медиа </w:t>
      </w:r>
      <w:r>
        <w:rPr>
          <w:rFonts w:eastAsiaTheme="minorHAnsi"/>
          <w:sz w:val="28"/>
          <w:szCs w:val="28"/>
          <w:lang w:val="ru-RU"/>
        </w:rPr>
        <w:t>действительно связано с рядом этических рисков. О</w:t>
      </w:r>
      <w:r w:rsidRPr="002C4E07">
        <w:rPr>
          <w:rFonts w:eastAsiaTheme="minorHAnsi"/>
          <w:sz w:val="28"/>
          <w:szCs w:val="28"/>
          <w:lang w:val="ru-RU"/>
        </w:rPr>
        <w:t>чевидной оказывается угроза цифровой безопасности детей, дальнейшего рассмотрения требует и вопрос законодательного регулирования такой деятельности. Наконец, зависимость от оценок зрителей, необходимость транслирования желаемого поведения и эмоций, нарушение личных границ ребёнка приводит к трудностям в конструировании и восприятии собственной идентичности и в целом оказывает пагубное влияние на его психоэмоциональное состояние.</w:t>
      </w:r>
    </w:p>
    <w:p w14:paraId="7CC7AEA3" w14:textId="77777777" w:rsidR="00BC03D7" w:rsidRDefault="00BC03D7" w:rsidP="00BC03D7">
      <w:pPr>
        <w:spacing w:line="360" w:lineRule="auto"/>
        <w:ind w:firstLine="709"/>
        <w:contextualSpacing/>
        <w:jc w:val="center"/>
        <w:rPr>
          <w:rFonts w:eastAsiaTheme="minorHAnsi"/>
          <w:sz w:val="28"/>
          <w:szCs w:val="28"/>
          <w:lang w:val="ru-RU"/>
        </w:rPr>
      </w:pPr>
    </w:p>
    <w:p w14:paraId="13839FD3" w14:textId="77777777" w:rsidR="00BC03D7" w:rsidRPr="003F10B1" w:rsidRDefault="00BC03D7" w:rsidP="00BC03D7">
      <w:pPr>
        <w:spacing w:line="360" w:lineRule="auto"/>
        <w:ind w:firstLine="709"/>
        <w:contextualSpacing/>
        <w:jc w:val="center"/>
        <w:rPr>
          <w:rFonts w:eastAsiaTheme="minorHAnsi"/>
          <w:bCs/>
          <w:sz w:val="28"/>
          <w:szCs w:val="28"/>
        </w:rPr>
      </w:pPr>
      <w:r w:rsidRPr="003F10B1">
        <w:rPr>
          <w:rFonts w:eastAsiaTheme="minorHAnsi"/>
          <w:bCs/>
          <w:sz w:val="28"/>
          <w:szCs w:val="28"/>
          <w:lang w:val="ru-RU"/>
        </w:rPr>
        <w:t>Литература</w:t>
      </w:r>
    </w:p>
    <w:p w14:paraId="3B9717D3" w14:textId="77777777" w:rsidR="00BC03D7" w:rsidRPr="00D61786" w:rsidRDefault="00BC03D7" w:rsidP="00BC03D7">
      <w:pPr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61786">
        <w:rPr>
          <w:sz w:val="28"/>
          <w:szCs w:val="28"/>
          <w:lang w:eastAsia="ru-RU"/>
        </w:rPr>
        <w:t xml:space="preserve">1. </w:t>
      </w:r>
      <w:proofErr w:type="spellStart"/>
      <w:r w:rsidRPr="00D61786">
        <w:rPr>
          <w:sz w:val="28"/>
          <w:szCs w:val="28"/>
          <w:lang w:eastAsia="ru-RU"/>
        </w:rPr>
        <w:t>Behri</w:t>
      </w:r>
      <w:proofErr w:type="spellEnd"/>
      <w:r w:rsidRPr="00D61786">
        <w:rPr>
          <w:sz w:val="28"/>
          <w:szCs w:val="28"/>
          <w:lang w:eastAsia="ru-RU"/>
        </w:rPr>
        <w:t xml:space="preserve"> I. The Use of Children as Influencers and the Harmful Effects on their Health and Rights as Human Beings // Interdisciplinary Journal of Research and Development. 2024. № 11(2). P. 52–59.</w:t>
      </w:r>
    </w:p>
    <w:p w14:paraId="2E79E001" w14:textId="77777777" w:rsidR="00BC03D7" w:rsidRPr="00D61786" w:rsidRDefault="00BC03D7" w:rsidP="00BC03D7">
      <w:pPr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61786">
        <w:rPr>
          <w:sz w:val="28"/>
          <w:szCs w:val="28"/>
          <w:lang w:eastAsia="ru-RU"/>
        </w:rPr>
        <w:t xml:space="preserve">2. Hamm M. P., Newton A. S., Chisholm A., </w:t>
      </w:r>
      <w:proofErr w:type="spellStart"/>
      <w:r w:rsidRPr="00D61786">
        <w:rPr>
          <w:sz w:val="28"/>
          <w:szCs w:val="28"/>
          <w:lang w:eastAsia="ru-RU"/>
        </w:rPr>
        <w:t>Shulhan</w:t>
      </w:r>
      <w:proofErr w:type="spellEnd"/>
      <w:r w:rsidRPr="00D61786">
        <w:rPr>
          <w:sz w:val="28"/>
          <w:szCs w:val="28"/>
          <w:lang w:eastAsia="ru-RU"/>
        </w:rPr>
        <w:t xml:space="preserve"> J., Milne A., Sundar P., Hartling L. Prevalence and Effect of Cyberbullying on Children and Young People: A Scoping Review of Social Media Studies // JAMA Pediatrics. 2015. № 169(8). P. 770–777.</w:t>
      </w:r>
    </w:p>
    <w:p w14:paraId="149364DA" w14:textId="77777777" w:rsidR="00BC03D7" w:rsidRPr="00147277" w:rsidRDefault="00BC03D7" w:rsidP="00BC03D7">
      <w:pPr>
        <w:spacing w:line="360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D61786">
        <w:rPr>
          <w:sz w:val="28"/>
          <w:szCs w:val="28"/>
          <w:lang w:eastAsia="ru-RU"/>
        </w:rPr>
        <w:t xml:space="preserve">3. Van den Abeele E., </w:t>
      </w:r>
      <w:proofErr w:type="spellStart"/>
      <w:r w:rsidRPr="00D61786">
        <w:rPr>
          <w:sz w:val="28"/>
          <w:szCs w:val="28"/>
          <w:lang w:eastAsia="ru-RU"/>
        </w:rPr>
        <w:t>Hudders</w:t>
      </w:r>
      <w:proofErr w:type="spellEnd"/>
      <w:r w:rsidRPr="00D61786">
        <w:rPr>
          <w:sz w:val="28"/>
          <w:szCs w:val="28"/>
          <w:lang w:eastAsia="ru-RU"/>
        </w:rPr>
        <w:t xml:space="preserve"> L., </w:t>
      </w:r>
      <w:proofErr w:type="spellStart"/>
      <w:r w:rsidRPr="00D61786">
        <w:rPr>
          <w:sz w:val="28"/>
          <w:szCs w:val="28"/>
          <w:lang w:eastAsia="ru-RU"/>
        </w:rPr>
        <w:t>Vanwesenbeeck</w:t>
      </w:r>
      <w:proofErr w:type="spellEnd"/>
      <w:r w:rsidRPr="00D61786">
        <w:rPr>
          <w:sz w:val="28"/>
          <w:szCs w:val="28"/>
          <w:lang w:eastAsia="ru-RU"/>
        </w:rPr>
        <w:t xml:space="preserve"> I. Managing Authenticity in a Kidfluencers’ World: A Qualitative Study with Kidfluencers and Their Parents // New Media &amp; Society. </w:t>
      </w:r>
      <w:r w:rsidRPr="006A4F71">
        <w:rPr>
          <w:sz w:val="28"/>
          <w:szCs w:val="28"/>
          <w:lang w:val="ru-RU" w:eastAsia="ru-RU"/>
        </w:rPr>
        <w:t>2024. https://doi.org/10.1177/14614448231222558</w:t>
      </w:r>
    </w:p>
    <w:p w14:paraId="634C3F6B" w14:textId="77777777" w:rsidR="00F12C76" w:rsidRPr="00BC03D7" w:rsidRDefault="00F12C76" w:rsidP="00BC03D7"/>
    <w:sectPr w:rsidR="00F12C76" w:rsidRPr="00BC03D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10"/>
    <w:rsid w:val="00280510"/>
    <w:rsid w:val="006618B9"/>
    <w:rsid w:val="006C0B77"/>
    <w:rsid w:val="00820046"/>
    <w:rsid w:val="008242FF"/>
    <w:rsid w:val="00870751"/>
    <w:rsid w:val="00922C48"/>
    <w:rsid w:val="00A66B54"/>
    <w:rsid w:val="00B915B7"/>
    <w:rsid w:val="00BC03D7"/>
    <w:rsid w:val="00DB0272"/>
    <w:rsid w:val="00EA59DF"/>
    <w:rsid w:val="00EE4070"/>
    <w:rsid w:val="00F12C76"/>
    <w:rsid w:val="00F1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83CBB"/>
  <w15:chartTrackingRefBased/>
  <w15:docId w15:val="{387742C8-F689-4933-AFFE-A27054E9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8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0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5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5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5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5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5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5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5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51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8051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8051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80510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80510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80510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80510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280510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280510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805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28051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805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28051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28051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280510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280510"/>
    <w:pPr>
      <w:spacing w:after="160"/>
      <w:ind w:left="720"/>
      <w:contextualSpacing/>
    </w:pPr>
    <w:rPr>
      <w:rFonts w:eastAsiaTheme="minorHAnsi" w:cstheme="minorBidi"/>
      <w:sz w:val="28"/>
      <w:szCs w:val="22"/>
      <w:lang w:val="ru-RU"/>
    </w:rPr>
  </w:style>
  <w:style w:type="character" w:styleId="a8">
    <w:name w:val="Intense Emphasis"/>
    <w:basedOn w:val="a0"/>
    <w:uiPriority w:val="21"/>
    <w:qFormat/>
    <w:rsid w:val="002805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0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8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280510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2805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Битюцкая</dc:creator>
  <cp:keywords/>
  <dc:description/>
  <cp:lastModifiedBy>Валерия Битюцкая</cp:lastModifiedBy>
  <cp:revision>4</cp:revision>
  <dcterms:created xsi:type="dcterms:W3CDTF">2025-11-16T19:46:00Z</dcterms:created>
  <dcterms:modified xsi:type="dcterms:W3CDTF">2025-11-16T20:41:00Z</dcterms:modified>
</cp:coreProperties>
</file>