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EAEF" w14:textId="3CE6DBC0" w:rsidR="001D1DF2" w:rsidRDefault="002606A3">
      <w:pPr>
        <w:spacing w:line="360" w:lineRule="auto"/>
        <w:ind w:firstLine="709"/>
        <w:rPr>
          <w:rFonts w:eastAsiaTheme="minorHAnsi"/>
          <w:sz w:val="28"/>
          <w:szCs w:val="28"/>
          <w:lang w:val="ru-RU"/>
        </w:rPr>
      </w:pPr>
      <w:r w:rsidRPr="002606A3">
        <w:rPr>
          <w:rFonts w:eastAsiaTheme="minorHAnsi"/>
          <w:sz w:val="28"/>
          <w:szCs w:val="28"/>
          <w:lang w:val="ru-RU"/>
        </w:rPr>
        <w:t xml:space="preserve">Людмила Петровна Марьина </w:t>
      </w:r>
    </w:p>
    <w:p w14:paraId="329C9174" w14:textId="5D49E2D3" w:rsidR="00E72B7B" w:rsidRPr="00AA4EBC" w:rsidRDefault="003D6E66">
      <w:pPr>
        <w:spacing w:line="360" w:lineRule="auto"/>
        <w:ind w:firstLine="709"/>
        <w:jc w:val="both"/>
        <w:rPr>
          <w:rFonts w:eastAsiaTheme="minorHAnsi"/>
          <w:i/>
          <w:iCs/>
          <w:sz w:val="28"/>
          <w:szCs w:val="28"/>
          <w:lang w:val="ru-RU"/>
        </w:rPr>
      </w:pPr>
      <w:r w:rsidRPr="003D6E66">
        <w:rPr>
          <w:rFonts w:eastAsiaTheme="minorHAnsi"/>
          <w:i/>
          <w:iCs/>
          <w:sz w:val="28"/>
          <w:szCs w:val="28"/>
          <w:lang w:val="ru-RU"/>
        </w:rPr>
        <w:t>С</w:t>
      </w:r>
      <w:r w:rsidR="002A578F">
        <w:rPr>
          <w:rFonts w:eastAsiaTheme="minorHAnsi"/>
          <w:i/>
          <w:iCs/>
          <w:sz w:val="28"/>
          <w:szCs w:val="28"/>
          <w:lang w:val="ru-RU"/>
        </w:rPr>
        <w:t>анкт-Петербургский</w:t>
      </w:r>
      <w:r w:rsidRPr="003D6E66">
        <w:rPr>
          <w:rFonts w:eastAsiaTheme="minorHAnsi"/>
          <w:i/>
          <w:iCs/>
          <w:sz w:val="28"/>
          <w:szCs w:val="28"/>
          <w:lang w:val="ru-RU"/>
        </w:rPr>
        <w:t xml:space="preserve"> </w:t>
      </w:r>
      <w:r w:rsidR="0034766E" w:rsidRPr="0034766E">
        <w:rPr>
          <w:rFonts w:eastAsiaTheme="minorHAnsi"/>
          <w:i/>
          <w:iCs/>
          <w:sz w:val="28"/>
          <w:szCs w:val="28"/>
          <w:lang w:val="ru-RU"/>
        </w:rPr>
        <w:t>государственный университет</w:t>
      </w:r>
    </w:p>
    <w:p w14:paraId="2CFACA07" w14:textId="5619009F" w:rsidR="001D1DF2" w:rsidRDefault="002606A3" w:rsidP="002606A3">
      <w:pPr>
        <w:spacing w:line="360" w:lineRule="auto"/>
        <w:ind w:firstLine="709"/>
        <w:rPr>
          <w:rFonts w:eastAsiaTheme="minorHAnsi"/>
          <w:sz w:val="28"/>
          <w:szCs w:val="28"/>
          <w:lang w:val="ru-RU"/>
        </w:rPr>
      </w:pPr>
      <w:r w:rsidRPr="002606A3">
        <w:rPr>
          <w:rFonts w:eastAsiaTheme="minorHAnsi"/>
          <w:sz w:val="28"/>
          <w:szCs w:val="28"/>
          <w:lang w:val="ru-RU"/>
        </w:rPr>
        <w:t>l.mariina@spbu.ru</w:t>
      </w:r>
    </w:p>
    <w:p w14:paraId="5CD58552" w14:textId="77777777" w:rsidR="00FC264D" w:rsidRPr="0034766E" w:rsidRDefault="00FC264D" w:rsidP="0034766E">
      <w:pPr>
        <w:spacing w:line="360" w:lineRule="auto"/>
        <w:ind w:firstLine="709"/>
        <w:rPr>
          <w:rFonts w:eastAsiaTheme="minorHAnsi"/>
          <w:sz w:val="28"/>
          <w:szCs w:val="28"/>
          <w:lang w:val="ru-RU"/>
        </w:rPr>
      </w:pPr>
    </w:p>
    <w:p w14:paraId="66FE5A05" w14:textId="529BB3A9" w:rsidR="00E72B7B" w:rsidRDefault="002606A3" w:rsidP="00FC264D">
      <w:pPr>
        <w:spacing w:line="360" w:lineRule="auto"/>
        <w:jc w:val="center"/>
        <w:rPr>
          <w:rFonts w:eastAsiaTheme="minorHAnsi"/>
          <w:b/>
          <w:bCs/>
          <w:sz w:val="28"/>
          <w:szCs w:val="28"/>
          <w:lang w:val="ru-RU"/>
        </w:rPr>
      </w:pPr>
      <w:r w:rsidRPr="002606A3">
        <w:rPr>
          <w:rFonts w:eastAsiaTheme="minorHAnsi"/>
          <w:b/>
          <w:bCs/>
          <w:sz w:val="28"/>
          <w:szCs w:val="28"/>
          <w:lang w:val="ru-RU"/>
        </w:rPr>
        <w:t>Креативные индустрии в современной городской среде и медиа: журналистский дискурс</w:t>
      </w:r>
    </w:p>
    <w:p w14:paraId="4ADDFE50" w14:textId="77777777" w:rsidR="00E72B7B" w:rsidRDefault="00E72B7B">
      <w:pPr>
        <w:spacing w:line="360" w:lineRule="auto"/>
        <w:ind w:firstLine="709"/>
        <w:jc w:val="both"/>
        <w:rPr>
          <w:rFonts w:eastAsiaTheme="minorHAnsi"/>
          <w:b/>
          <w:bCs/>
          <w:sz w:val="28"/>
          <w:szCs w:val="28"/>
          <w:lang w:val="ru-RU"/>
        </w:rPr>
      </w:pPr>
    </w:p>
    <w:p w14:paraId="0861E9A2" w14:textId="49AE4240" w:rsidR="00E72B7B" w:rsidRDefault="002606A3">
      <w:pPr>
        <w:spacing w:line="360" w:lineRule="auto"/>
        <w:ind w:firstLine="709"/>
        <w:jc w:val="both"/>
        <w:rPr>
          <w:rFonts w:eastAsiaTheme="minorHAnsi"/>
          <w:sz w:val="28"/>
          <w:szCs w:val="28"/>
          <w:lang w:val="ru-RU"/>
        </w:rPr>
      </w:pPr>
      <w:r w:rsidRPr="002606A3">
        <w:rPr>
          <w:rFonts w:eastAsiaTheme="minorHAnsi"/>
          <w:sz w:val="28"/>
          <w:szCs w:val="28"/>
          <w:lang w:val="ru-RU"/>
        </w:rPr>
        <w:t xml:space="preserve">В исследовании представлены тематические доминанты социальной повестки </w:t>
      </w:r>
      <w:r w:rsidR="003E65E2">
        <w:rPr>
          <w:rFonts w:eastAsiaTheme="minorHAnsi"/>
          <w:sz w:val="28"/>
          <w:szCs w:val="28"/>
          <w:lang w:val="ru-RU"/>
        </w:rPr>
        <w:t xml:space="preserve">в </w:t>
      </w:r>
      <w:r w:rsidRPr="002606A3">
        <w:rPr>
          <w:rFonts w:eastAsiaTheme="minorHAnsi"/>
          <w:sz w:val="28"/>
          <w:szCs w:val="28"/>
          <w:lang w:val="ru-RU"/>
        </w:rPr>
        <w:t>освещени</w:t>
      </w:r>
      <w:r w:rsidR="003E65E2">
        <w:rPr>
          <w:rFonts w:eastAsiaTheme="minorHAnsi"/>
          <w:sz w:val="28"/>
          <w:szCs w:val="28"/>
          <w:lang w:val="ru-RU"/>
        </w:rPr>
        <w:t>и</w:t>
      </w:r>
      <w:r w:rsidRPr="002606A3">
        <w:rPr>
          <w:rFonts w:eastAsiaTheme="minorHAnsi"/>
          <w:sz w:val="28"/>
          <w:szCs w:val="28"/>
          <w:lang w:val="ru-RU"/>
        </w:rPr>
        <w:t xml:space="preserve"> креативных индустрий российской журналистикой, медийные и цифровые технологии креативных пространств, их место в сохранении культурного наследия. Анализ эмпирических данных 2023-2025 гг. позволяют делать выводы о журналистских практиках освещения креативных индустрий в контексте таких категорий, как успех, патриотизм, культурное наследие.</w:t>
      </w:r>
    </w:p>
    <w:p w14:paraId="2211EA08" w14:textId="58E4C0BC" w:rsidR="00E72B7B" w:rsidRDefault="00000000">
      <w:pPr>
        <w:spacing w:line="360" w:lineRule="auto"/>
        <w:ind w:firstLine="709"/>
        <w:jc w:val="both"/>
        <w:rPr>
          <w:rFonts w:eastAsiaTheme="minorHAnsi"/>
          <w:sz w:val="28"/>
          <w:szCs w:val="28"/>
          <w:lang w:val="ru-RU"/>
        </w:rPr>
      </w:pPr>
      <w:r w:rsidRPr="00AA4EBC">
        <w:rPr>
          <w:rFonts w:eastAsiaTheme="minorHAnsi"/>
          <w:i/>
          <w:iCs/>
          <w:sz w:val="28"/>
          <w:szCs w:val="28"/>
          <w:lang w:val="ru-RU"/>
        </w:rPr>
        <w:t>Ключевые слова</w:t>
      </w:r>
      <w:r>
        <w:rPr>
          <w:rFonts w:eastAsiaTheme="minorHAnsi"/>
          <w:sz w:val="28"/>
          <w:szCs w:val="28"/>
          <w:lang w:val="ru-RU"/>
        </w:rPr>
        <w:t xml:space="preserve">: </w:t>
      </w:r>
      <w:r w:rsidR="002606A3" w:rsidRPr="002606A3">
        <w:rPr>
          <w:rFonts w:eastAsiaTheme="minorHAnsi"/>
          <w:sz w:val="28"/>
          <w:szCs w:val="28"/>
          <w:lang w:val="ru-RU"/>
        </w:rPr>
        <w:t>креативные индустрии, культурное наследие, медиаискусство, профессиональная культура, цифровизация</w:t>
      </w:r>
      <w:r w:rsidR="00F95C7B" w:rsidRPr="00F95C7B">
        <w:rPr>
          <w:rFonts w:eastAsiaTheme="minorHAnsi"/>
          <w:sz w:val="28"/>
          <w:szCs w:val="28"/>
          <w:lang w:val="ru-RU"/>
        </w:rPr>
        <w:t>.</w:t>
      </w:r>
    </w:p>
    <w:p w14:paraId="0D6CA07C" w14:textId="77777777" w:rsidR="00E72B7B" w:rsidRDefault="00E72B7B">
      <w:pPr>
        <w:spacing w:line="360" w:lineRule="auto"/>
        <w:ind w:firstLine="709"/>
        <w:jc w:val="both"/>
        <w:rPr>
          <w:rFonts w:eastAsiaTheme="minorHAnsi"/>
          <w:sz w:val="28"/>
          <w:szCs w:val="28"/>
          <w:lang w:val="ru-RU"/>
        </w:rPr>
      </w:pPr>
    </w:p>
    <w:p w14:paraId="2970CFF8" w14:textId="2EB3ECEB" w:rsidR="003E65E2" w:rsidRDefault="002606A3" w:rsidP="00120BB3">
      <w:pPr>
        <w:spacing w:line="360" w:lineRule="auto"/>
        <w:ind w:firstLine="709"/>
        <w:jc w:val="both"/>
        <w:rPr>
          <w:rFonts w:eastAsiaTheme="minorHAnsi"/>
          <w:sz w:val="28"/>
          <w:szCs w:val="28"/>
          <w:lang w:val="ru-RU"/>
        </w:rPr>
      </w:pPr>
      <w:r w:rsidRPr="002606A3">
        <w:rPr>
          <w:rFonts w:eastAsiaTheme="minorHAnsi"/>
          <w:sz w:val="28"/>
          <w:szCs w:val="28"/>
          <w:lang w:val="ru-RU"/>
        </w:rPr>
        <w:t>Концепция креативных пространств рассматривается различными областями научного знания. Исследователи, изучающие креативные пространства, ставят перед собой задачу определить, что же такое креативный продукт, который непосредственно реализуется на территории креативных пространств, как влия</w:t>
      </w:r>
      <w:r w:rsidR="003E65E2">
        <w:rPr>
          <w:rFonts w:eastAsiaTheme="minorHAnsi"/>
          <w:sz w:val="28"/>
          <w:szCs w:val="28"/>
          <w:lang w:val="ru-RU"/>
        </w:rPr>
        <w:t>ю</w:t>
      </w:r>
      <w:r w:rsidRPr="002606A3">
        <w:rPr>
          <w:rFonts w:eastAsiaTheme="minorHAnsi"/>
          <w:sz w:val="28"/>
          <w:szCs w:val="28"/>
          <w:lang w:val="ru-RU"/>
        </w:rPr>
        <w:t>т архитектура кластера, его принадлежность к культурному наследию на потребление. Стоит отметить, что для развития креативного города необходимы пространства, обладающие высоким уровнем удобства и позволяющие людям обмениваться идеями, проводить образовательную и развлекательную деятельность, реализовывать творческие и культурные инициативы [4:</w:t>
      </w:r>
      <w:r w:rsidR="003E65E2">
        <w:rPr>
          <w:rFonts w:eastAsiaTheme="minorHAnsi"/>
          <w:sz w:val="28"/>
          <w:szCs w:val="28"/>
          <w:lang w:val="ru-RU"/>
        </w:rPr>
        <w:t xml:space="preserve"> </w:t>
      </w:r>
      <w:r w:rsidRPr="002606A3">
        <w:rPr>
          <w:rFonts w:eastAsiaTheme="minorHAnsi"/>
          <w:sz w:val="28"/>
          <w:szCs w:val="28"/>
          <w:lang w:val="ru-RU"/>
        </w:rPr>
        <w:t>4</w:t>
      </w:r>
      <w:bookmarkStart w:id="0" w:name="_Hlk213939576"/>
      <w:r w:rsidR="003E65E2" w:rsidRPr="003E65E2">
        <w:rPr>
          <w:rFonts w:eastAsiaTheme="minorHAnsi"/>
          <w:sz w:val="28"/>
          <w:szCs w:val="28"/>
          <w:lang w:val="ru-RU"/>
        </w:rPr>
        <w:t>–</w:t>
      </w:r>
      <w:bookmarkEnd w:id="0"/>
      <w:r w:rsidRPr="002606A3">
        <w:rPr>
          <w:rFonts w:eastAsiaTheme="minorHAnsi"/>
          <w:sz w:val="28"/>
          <w:szCs w:val="28"/>
          <w:lang w:val="ru-RU"/>
        </w:rPr>
        <w:t>9].</w:t>
      </w:r>
      <w:r w:rsidR="004C4E09">
        <w:rPr>
          <w:rFonts w:eastAsiaTheme="minorHAnsi"/>
          <w:sz w:val="28"/>
          <w:szCs w:val="28"/>
          <w:lang w:val="ru-RU"/>
        </w:rPr>
        <w:t xml:space="preserve"> </w:t>
      </w:r>
    </w:p>
    <w:p w14:paraId="727D6411" w14:textId="4F301F6B" w:rsidR="003E65E2" w:rsidRDefault="002606A3" w:rsidP="00120BB3">
      <w:pPr>
        <w:spacing w:line="360" w:lineRule="auto"/>
        <w:ind w:firstLine="709"/>
        <w:jc w:val="both"/>
        <w:rPr>
          <w:rFonts w:eastAsiaTheme="minorHAnsi"/>
          <w:sz w:val="28"/>
          <w:szCs w:val="28"/>
          <w:lang w:val="ru-RU"/>
        </w:rPr>
      </w:pPr>
      <w:r w:rsidRPr="002606A3">
        <w:rPr>
          <w:rFonts w:eastAsiaTheme="minorHAnsi"/>
          <w:sz w:val="28"/>
          <w:szCs w:val="28"/>
          <w:lang w:val="ru-RU"/>
        </w:rPr>
        <w:t>В научном дискурсе отсутствует однозначное определение категориального аппарата</w:t>
      </w:r>
      <w:r w:rsidR="003E65E2">
        <w:rPr>
          <w:rFonts w:eastAsiaTheme="minorHAnsi"/>
          <w:sz w:val="28"/>
          <w:szCs w:val="28"/>
          <w:lang w:val="ru-RU"/>
        </w:rPr>
        <w:t xml:space="preserve"> для данной области изучения</w:t>
      </w:r>
      <w:r w:rsidRPr="002606A3">
        <w:rPr>
          <w:rFonts w:eastAsiaTheme="minorHAnsi"/>
          <w:sz w:val="28"/>
          <w:szCs w:val="28"/>
          <w:lang w:val="ru-RU"/>
        </w:rPr>
        <w:t>.</w:t>
      </w:r>
      <w:r w:rsidR="004C4E09">
        <w:rPr>
          <w:rFonts w:eastAsiaTheme="minorHAnsi"/>
          <w:sz w:val="28"/>
          <w:szCs w:val="28"/>
          <w:lang w:val="ru-RU"/>
        </w:rPr>
        <w:t xml:space="preserve"> </w:t>
      </w:r>
      <w:r w:rsidRPr="002606A3">
        <w:rPr>
          <w:rFonts w:eastAsiaTheme="minorHAnsi"/>
          <w:sz w:val="28"/>
          <w:szCs w:val="28"/>
          <w:lang w:val="ru-RU"/>
        </w:rPr>
        <w:t xml:space="preserve">Исходя из анализа теоретико-методологической базы, мы можем определить креативное </w:t>
      </w:r>
      <w:r w:rsidRPr="002606A3">
        <w:rPr>
          <w:rFonts w:eastAsiaTheme="minorHAnsi"/>
          <w:sz w:val="28"/>
          <w:szCs w:val="28"/>
          <w:lang w:val="ru-RU"/>
        </w:rPr>
        <w:lastRenderedPageBreak/>
        <w:t>пространство как общественно доступное место в городской среде, где люди могут выстроить социально-культурную коммуникацию. Учёные выдел</w:t>
      </w:r>
      <w:r w:rsidR="003E65E2">
        <w:rPr>
          <w:rFonts w:eastAsiaTheme="minorHAnsi"/>
          <w:sz w:val="28"/>
          <w:szCs w:val="28"/>
          <w:lang w:val="ru-RU"/>
        </w:rPr>
        <w:t>я</w:t>
      </w:r>
      <w:r w:rsidRPr="002606A3">
        <w:rPr>
          <w:rFonts w:eastAsiaTheme="minorHAnsi"/>
          <w:sz w:val="28"/>
          <w:szCs w:val="28"/>
          <w:lang w:val="ru-RU"/>
        </w:rPr>
        <w:t xml:space="preserve">ют такие типы креативных пространств, как лофты, зоны коворкинга, арт-пространства и арт-кварталы [3]. Сегодня отечественные исследователи, специалисты </w:t>
      </w:r>
      <w:r w:rsidR="003E65E2">
        <w:rPr>
          <w:rFonts w:eastAsiaTheme="minorHAnsi"/>
          <w:sz w:val="28"/>
          <w:szCs w:val="28"/>
          <w:lang w:val="ru-RU"/>
        </w:rPr>
        <w:t xml:space="preserve">в сфере </w:t>
      </w:r>
      <w:r w:rsidRPr="002606A3">
        <w:rPr>
          <w:rFonts w:eastAsiaTheme="minorHAnsi"/>
          <w:sz w:val="28"/>
          <w:szCs w:val="28"/>
          <w:lang w:val="ru-RU"/>
        </w:rPr>
        <w:t>медиа и политики оперируют понятием креативны</w:t>
      </w:r>
      <w:r w:rsidR="003E65E2">
        <w:rPr>
          <w:rFonts w:eastAsiaTheme="minorHAnsi"/>
          <w:sz w:val="28"/>
          <w:szCs w:val="28"/>
          <w:lang w:val="ru-RU"/>
        </w:rPr>
        <w:t>х</w:t>
      </w:r>
      <w:r w:rsidRPr="002606A3">
        <w:rPr>
          <w:rFonts w:eastAsiaTheme="minorHAnsi"/>
          <w:sz w:val="28"/>
          <w:szCs w:val="28"/>
          <w:lang w:val="ru-RU"/>
        </w:rPr>
        <w:t xml:space="preserve"> индустри</w:t>
      </w:r>
      <w:r w:rsidR="003E65E2">
        <w:rPr>
          <w:rFonts w:eastAsiaTheme="minorHAnsi"/>
          <w:sz w:val="28"/>
          <w:szCs w:val="28"/>
          <w:lang w:val="ru-RU"/>
        </w:rPr>
        <w:t>й</w:t>
      </w:r>
      <w:r w:rsidRPr="002606A3">
        <w:rPr>
          <w:rFonts w:eastAsiaTheme="minorHAnsi"/>
          <w:sz w:val="28"/>
          <w:szCs w:val="28"/>
          <w:lang w:val="ru-RU"/>
        </w:rPr>
        <w:t xml:space="preserve">, которые включают </w:t>
      </w:r>
      <w:r w:rsidR="003E65E2">
        <w:rPr>
          <w:rFonts w:eastAsiaTheme="minorHAnsi"/>
          <w:sz w:val="28"/>
          <w:szCs w:val="28"/>
          <w:lang w:val="ru-RU"/>
        </w:rPr>
        <w:t xml:space="preserve">в себя </w:t>
      </w:r>
      <w:r w:rsidRPr="002606A3">
        <w:rPr>
          <w:rFonts w:eastAsiaTheme="minorHAnsi"/>
          <w:sz w:val="28"/>
          <w:szCs w:val="28"/>
          <w:lang w:val="ru-RU"/>
        </w:rPr>
        <w:t>архитектуру и урбанистику, медиакультуру, культурное наследие, медиа, СМИ, туризм и гастрономическую культуру.</w:t>
      </w:r>
      <w:r w:rsidR="004C4E09">
        <w:rPr>
          <w:rFonts w:eastAsiaTheme="minorHAnsi"/>
          <w:sz w:val="28"/>
          <w:szCs w:val="28"/>
          <w:lang w:val="ru-RU"/>
        </w:rPr>
        <w:t xml:space="preserve"> </w:t>
      </w:r>
    </w:p>
    <w:p w14:paraId="7D253148" w14:textId="4EB78F9A" w:rsidR="003E65E2" w:rsidRDefault="002606A3" w:rsidP="00120BB3">
      <w:pPr>
        <w:spacing w:line="360" w:lineRule="auto"/>
        <w:ind w:firstLine="709"/>
        <w:jc w:val="both"/>
        <w:rPr>
          <w:rFonts w:eastAsiaTheme="minorHAnsi"/>
          <w:sz w:val="28"/>
          <w:szCs w:val="28"/>
          <w:lang w:val="ru-RU"/>
        </w:rPr>
      </w:pPr>
      <w:r w:rsidRPr="002606A3">
        <w:rPr>
          <w:rFonts w:eastAsiaTheme="minorHAnsi"/>
          <w:sz w:val="28"/>
          <w:szCs w:val="28"/>
          <w:lang w:val="ru-RU"/>
        </w:rPr>
        <w:t xml:space="preserve">Цифровизация и медиатизация трансформировали культурные коммуникации общества. Сегодня технологии </w:t>
      </w:r>
      <w:r w:rsidR="003E65E2" w:rsidRPr="003E65E2">
        <w:rPr>
          <w:rFonts w:eastAsiaTheme="minorHAnsi"/>
          <w:sz w:val="28"/>
          <w:szCs w:val="28"/>
          <w:lang w:val="ru-RU"/>
        </w:rPr>
        <w:t xml:space="preserve">не только </w:t>
      </w:r>
      <w:r w:rsidRPr="002606A3">
        <w:rPr>
          <w:rFonts w:eastAsiaTheme="minorHAnsi"/>
          <w:sz w:val="28"/>
          <w:szCs w:val="28"/>
          <w:lang w:val="ru-RU"/>
        </w:rPr>
        <w:t>играют роль средства самовыражения, но и привносят в среду обитания горожан новые смыслы, актуализируют развитие медиаискусства. Медиаискусство активно проникает в урбанистическую архитектуру</w:t>
      </w:r>
      <w:r w:rsidR="003E65E2">
        <w:rPr>
          <w:rFonts w:eastAsiaTheme="minorHAnsi"/>
          <w:sz w:val="28"/>
          <w:szCs w:val="28"/>
          <w:lang w:val="ru-RU"/>
        </w:rPr>
        <w:t>. Примером служит</w:t>
      </w:r>
      <w:r w:rsidRPr="002606A3">
        <w:rPr>
          <w:rFonts w:eastAsiaTheme="minorHAnsi"/>
          <w:sz w:val="28"/>
          <w:szCs w:val="28"/>
          <w:lang w:val="ru-RU"/>
        </w:rPr>
        <w:t xml:space="preserve"> фестиваль света «Pro </w:t>
      </w:r>
      <w:r w:rsidRPr="003E65E2">
        <w:rPr>
          <w:rFonts w:eastAsiaTheme="minorHAnsi"/>
          <w:sz w:val="28"/>
          <w:szCs w:val="28"/>
          <w:lang w:val="ru-RU"/>
        </w:rPr>
        <w:t>Искусство»</w:t>
      </w:r>
      <w:r w:rsidR="003E65E2" w:rsidRPr="003E65E2">
        <w:rPr>
          <w:sz w:val="28"/>
          <w:szCs w:val="28"/>
          <w:lang w:val="ru-RU"/>
        </w:rPr>
        <w:t xml:space="preserve"> в </w:t>
      </w:r>
      <w:r w:rsidR="003E65E2" w:rsidRPr="003E65E2">
        <w:rPr>
          <w:rFonts w:eastAsiaTheme="minorHAnsi"/>
          <w:sz w:val="28"/>
          <w:szCs w:val="28"/>
          <w:lang w:val="ru-RU"/>
        </w:rPr>
        <w:t>Петропавловск</w:t>
      </w:r>
      <w:r w:rsidR="003E65E2">
        <w:rPr>
          <w:rFonts w:eastAsiaTheme="minorHAnsi"/>
          <w:sz w:val="28"/>
          <w:szCs w:val="28"/>
          <w:lang w:val="ru-RU"/>
        </w:rPr>
        <w:t>ой</w:t>
      </w:r>
      <w:r w:rsidR="003E65E2" w:rsidRPr="003E65E2">
        <w:rPr>
          <w:rFonts w:eastAsiaTheme="minorHAnsi"/>
          <w:sz w:val="28"/>
          <w:szCs w:val="28"/>
          <w:lang w:val="ru-RU"/>
        </w:rPr>
        <w:t xml:space="preserve"> крепост</w:t>
      </w:r>
      <w:r w:rsidR="003E65E2">
        <w:rPr>
          <w:rFonts w:eastAsiaTheme="minorHAnsi"/>
          <w:sz w:val="28"/>
          <w:szCs w:val="28"/>
          <w:lang w:val="ru-RU"/>
        </w:rPr>
        <w:t>и</w:t>
      </w:r>
      <w:r w:rsidRPr="002606A3">
        <w:rPr>
          <w:rFonts w:eastAsiaTheme="minorHAnsi"/>
          <w:sz w:val="28"/>
          <w:szCs w:val="28"/>
          <w:lang w:val="ru-RU"/>
        </w:rPr>
        <w:t xml:space="preserve"> 2-4 ноября 2025 г.: инсталляции мультимедийного проекта посвящены русской культуре и её наследию </w:t>
      </w:r>
      <w:r w:rsidR="003E65E2" w:rsidRPr="003E65E2">
        <w:rPr>
          <w:rFonts w:eastAsiaTheme="minorHAnsi"/>
          <w:sz w:val="28"/>
          <w:szCs w:val="28"/>
          <w:lang w:val="ru-RU"/>
        </w:rPr>
        <w:t>–</w:t>
      </w:r>
      <w:r w:rsidRPr="002606A3">
        <w:rPr>
          <w:rFonts w:eastAsiaTheme="minorHAnsi"/>
          <w:sz w:val="28"/>
          <w:szCs w:val="28"/>
          <w:lang w:val="ru-RU"/>
        </w:rPr>
        <w:t xml:space="preserve"> живописи, литературе, музыке, а также легендам и мифам Петербурга. В сентябре 2025 г</w:t>
      </w:r>
      <w:r w:rsidR="003E65E2">
        <w:rPr>
          <w:rFonts w:eastAsiaTheme="minorHAnsi"/>
          <w:sz w:val="28"/>
          <w:szCs w:val="28"/>
          <w:lang w:val="ru-RU"/>
        </w:rPr>
        <w:t>.</w:t>
      </w:r>
      <w:r w:rsidRPr="002606A3">
        <w:rPr>
          <w:rFonts w:eastAsiaTheme="minorHAnsi"/>
          <w:sz w:val="28"/>
          <w:szCs w:val="28"/>
          <w:lang w:val="ru-RU"/>
        </w:rPr>
        <w:t xml:space="preserve"> в рамках XVI Международного театрального фестиваля «Александринский» в Санкт-Петербурге состоялся первый масштабный фестиваль медиаискусства «Digital Rain». На площади Островского проходило впечатляющее световое шоу, в ходе которого на фасад здания Исторической сцены Национального драматического театра России (Александринский) с помощью технологии 3D-мэппинга транслировались анимации под музыку и звуковое сопровождение. Региональные СМИ (например, «Фонтанка.ру») активн</w:t>
      </w:r>
      <w:r w:rsidR="003E65E2">
        <w:rPr>
          <w:rFonts w:eastAsiaTheme="minorHAnsi"/>
          <w:sz w:val="28"/>
          <w:szCs w:val="28"/>
          <w:lang w:val="ru-RU"/>
        </w:rPr>
        <w:t>о</w:t>
      </w:r>
      <w:r w:rsidRPr="002606A3">
        <w:rPr>
          <w:rFonts w:eastAsiaTheme="minorHAnsi"/>
          <w:sz w:val="28"/>
          <w:szCs w:val="28"/>
          <w:lang w:val="ru-RU"/>
        </w:rPr>
        <w:t xml:space="preserve"> освещают события мультимедийного искусства.</w:t>
      </w:r>
      <w:r w:rsidR="004C4E09">
        <w:rPr>
          <w:rFonts w:eastAsiaTheme="minorHAnsi"/>
          <w:sz w:val="28"/>
          <w:szCs w:val="28"/>
          <w:lang w:val="ru-RU"/>
        </w:rPr>
        <w:t xml:space="preserve"> </w:t>
      </w:r>
    </w:p>
    <w:p w14:paraId="51112092" w14:textId="730CF310" w:rsidR="004C4E09" w:rsidRDefault="002606A3" w:rsidP="00120BB3">
      <w:pPr>
        <w:spacing w:line="360" w:lineRule="auto"/>
        <w:ind w:firstLine="709"/>
        <w:jc w:val="both"/>
        <w:rPr>
          <w:rFonts w:eastAsiaTheme="minorHAnsi"/>
          <w:sz w:val="28"/>
          <w:szCs w:val="28"/>
          <w:lang w:val="ru-RU"/>
        </w:rPr>
      </w:pPr>
      <w:r w:rsidRPr="002606A3">
        <w:rPr>
          <w:rFonts w:eastAsiaTheme="minorHAnsi"/>
          <w:sz w:val="28"/>
          <w:szCs w:val="28"/>
          <w:lang w:val="ru-RU"/>
        </w:rPr>
        <w:t xml:space="preserve">Объект нашего исследования – культурная индустрия Санкт-Петербурга. Анализ медийных ресурсов на протяжении 2023-2025 гг. позволяет сделать вывод, что на бренд креативных пространств влияет, прежде всего, историческая и культурная составляющая города, которую продвигают журналисты и цифровые площадки учреждений культуры, лидирующих в репрезентации креативных кластеров. Анализ медийных </w:t>
      </w:r>
      <w:r w:rsidRPr="002606A3">
        <w:rPr>
          <w:rFonts w:eastAsiaTheme="minorHAnsi"/>
          <w:sz w:val="28"/>
          <w:szCs w:val="28"/>
          <w:lang w:val="ru-RU"/>
        </w:rPr>
        <w:lastRenderedPageBreak/>
        <w:t>ресурсов в 2024г.</w:t>
      </w:r>
      <w:r w:rsidR="003E65E2">
        <w:rPr>
          <w:rFonts w:eastAsiaTheme="minorHAnsi"/>
          <w:sz w:val="28"/>
          <w:szCs w:val="28"/>
          <w:lang w:val="ru-RU"/>
        </w:rPr>
        <w:t>, таких как</w:t>
      </w:r>
      <w:r w:rsidRPr="002606A3">
        <w:rPr>
          <w:rFonts w:eastAsiaTheme="minorHAnsi"/>
          <w:sz w:val="28"/>
          <w:szCs w:val="28"/>
          <w:lang w:val="ru-RU"/>
        </w:rPr>
        <w:t xml:space="preserve"> «MOIKA78.RU» – городской информационный портал, «Город» – новостной портал,</w:t>
      </w:r>
      <w:r w:rsidR="004C4E09">
        <w:rPr>
          <w:rFonts w:eastAsiaTheme="minorHAnsi"/>
          <w:sz w:val="28"/>
          <w:szCs w:val="28"/>
          <w:lang w:val="ru-RU"/>
        </w:rPr>
        <w:t xml:space="preserve"> </w:t>
      </w:r>
      <w:r w:rsidRPr="002606A3">
        <w:rPr>
          <w:rFonts w:eastAsiaTheme="minorHAnsi"/>
          <w:sz w:val="28"/>
          <w:szCs w:val="28"/>
          <w:lang w:val="ru-RU"/>
        </w:rPr>
        <w:t>издани</w:t>
      </w:r>
      <w:r w:rsidR="004C4E09">
        <w:rPr>
          <w:rFonts w:eastAsiaTheme="minorHAnsi"/>
          <w:sz w:val="28"/>
          <w:szCs w:val="28"/>
          <w:lang w:val="ru-RU"/>
        </w:rPr>
        <w:t>я</w:t>
      </w:r>
      <w:r w:rsidRPr="002606A3">
        <w:rPr>
          <w:rFonts w:eastAsiaTheme="minorHAnsi"/>
          <w:sz w:val="28"/>
          <w:szCs w:val="28"/>
          <w:lang w:val="ru-RU"/>
        </w:rPr>
        <w:t xml:space="preserve"> «Деловой Петербург», «Комсомольская правда», «</w:t>
      </w:r>
      <w:proofErr w:type="spellStart"/>
      <w:r w:rsidRPr="002606A3">
        <w:rPr>
          <w:rFonts w:eastAsiaTheme="minorHAnsi"/>
          <w:sz w:val="28"/>
          <w:szCs w:val="28"/>
          <w:lang w:val="ru-RU"/>
        </w:rPr>
        <w:t>Собака.ру</w:t>
      </w:r>
      <w:proofErr w:type="spellEnd"/>
      <w:r w:rsidRPr="002606A3">
        <w:rPr>
          <w:rFonts w:eastAsiaTheme="minorHAnsi"/>
          <w:sz w:val="28"/>
          <w:szCs w:val="28"/>
          <w:lang w:val="ru-RU"/>
        </w:rPr>
        <w:t xml:space="preserve">» </w:t>
      </w:r>
      <w:r w:rsidR="004C4E09" w:rsidRPr="004C4E09">
        <w:rPr>
          <w:rFonts w:eastAsiaTheme="minorHAnsi"/>
          <w:sz w:val="28"/>
          <w:szCs w:val="28"/>
          <w:lang w:val="ru-RU"/>
        </w:rPr>
        <w:t xml:space="preserve">– </w:t>
      </w:r>
      <w:r w:rsidRPr="002606A3">
        <w:rPr>
          <w:rFonts w:eastAsiaTheme="minorHAnsi"/>
          <w:sz w:val="28"/>
          <w:szCs w:val="28"/>
          <w:lang w:val="ru-RU"/>
        </w:rPr>
        <w:t xml:space="preserve">позволил выявить жанровые приоритеты в освещении креативных объектов: информационная заметка (83%), обозрение (14%), статья (3%). В публикациях цифровых платформ лидируют фотографии, ролики, инфографика. Основной массив сообщений – </w:t>
      </w:r>
      <w:r w:rsidR="004C4E09">
        <w:rPr>
          <w:rFonts w:eastAsiaTheme="minorHAnsi"/>
          <w:sz w:val="28"/>
          <w:szCs w:val="28"/>
          <w:lang w:val="ru-RU"/>
        </w:rPr>
        <w:t xml:space="preserve">это </w:t>
      </w:r>
      <w:r w:rsidRPr="002606A3">
        <w:rPr>
          <w:rFonts w:eastAsiaTheme="minorHAnsi"/>
          <w:sz w:val="28"/>
          <w:szCs w:val="28"/>
          <w:lang w:val="ru-RU"/>
        </w:rPr>
        <w:t>отзывы, реклама туров и экскурсий с посещением креативного пространства.</w:t>
      </w:r>
    </w:p>
    <w:p w14:paraId="6936EA7D" w14:textId="49DD3D32" w:rsidR="004C4E09" w:rsidRDefault="002606A3" w:rsidP="00120BB3">
      <w:pPr>
        <w:spacing w:line="360" w:lineRule="auto"/>
        <w:ind w:firstLine="709"/>
        <w:jc w:val="both"/>
        <w:rPr>
          <w:rFonts w:eastAsiaTheme="minorHAnsi"/>
          <w:sz w:val="28"/>
          <w:szCs w:val="28"/>
          <w:lang w:val="ru-RU"/>
        </w:rPr>
      </w:pPr>
      <w:r w:rsidRPr="002606A3">
        <w:rPr>
          <w:rFonts w:eastAsiaTheme="minorHAnsi"/>
          <w:sz w:val="28"/>
          <w:szCs w:val="28"/>
          <w:lang w:val="ru-RU"/>
        </w:rPr>
        <w:t xml:space="preserve">Тематические доминанты материалов: культурное наследие, креативные практики, туристические маршруты: архитектура, история места. Отличительная черта контента аккаунтов в социальных сетях (онлайн-билеты, «кэшбек», розыгрыш билетов) </w:t>
      </w:r>
      <w:bookmarkStart w:id="1" w:name="_Hlk213939865"/>
      <w:r w:rsidRPr="002606A3">
        <w:rPr>
          <w:rFonts w:eastAsiaTheme="minorHAnsi"/>
          <w:sz w:val="28"/>
          <w:szCs w:val="28"/>
          <w:lang w:val="ru-RU"/>
        </w:rPr>
        <w:t>–</w:t>
      </w:r>
      <w:bookmarkEnd w:id="1"/>
      <w:r w:rsidRPr="002606A3">
        <w:rPr>
          <w:rFonts w:eastAsiaTheme="minorHAnsi"/>
          <w:sz w:val="28"/>
          <w:szCs w:val="28"/>
          <w:lang w:val="ru-RU"/>
        </w:rPr>
        <w:t xml:space="preserve"> информационная и гедонистическая направленность,</w:t>
      </w:r>
      <w:r w:rsidR="004C4E09">
        <w:rPr>
          <w:rFonts w:eastAsiaTheme="minorHAnsi"/>
          <w:sz w:val="28"/>
          <w:szCs w:val="28"/>
          <w:lang w:val="ru-RU"/>
        </w:rPr>
        <w:t xml:space="preserve"> </w:t>
      </w:r>
      <w:r w:rsidRPr="002606A3">
        <w:rPr>
          <w:rFonts w:eastAsiaTheme="minorHAnsi"/>
          <w:sz w:val="28"/>
          <w:szCs w:val="28"/>
          <w:lang w:val="ru-RU"/>
        </w:rPr>
        <w:t>популяризация исторического прошлого наряду с коммерциализацией («Новая Голландия», «Остров Фортов», «Севкабель Порт»), патриотическая направленность как отличительная черта креативного кластера «Остров фортов», который открылся в Кронштадте в 2020 г.</w:t>
      </w:r>
      <w:r w:rsidR="004C4E09">
        <w:rPr>
          <w:rFonts w:eastAsiaTheme="minorHAnsi"/>
          <w:sz w:val="28"/>
          <w:szCs w:val="28"/>
          <w:lang w:val="ru-RU"/>
        </w:rPr>
        <w:t xml:space="preserve"> </w:t>
      </w:r>
      <w:r w:rsidRPr="002606A3">
        <w:rPr>
          <w:rFonts w:eastAsiaTheme="minorHAnsi"/>
          <w:sz w:val="28"/>
          <w:szCs w:val="28"/>
          <w:lang w:val="ru-RU"/>
        </w:rPr>
        <w:t>Подчеркнём, что феномен медиатизации охватывает не только процесс организации и функционирования объектов креативной индустрии, но также их репрезентацию в медиа, что обуславливает изменения в профессиональной подготовке будущих журналистов и трансформирует подходы к профессиональной культуре журналистов, освещающих креативные кластеры в контексте формирования культурного наследия, исторической памяти, патриотизма и успеха [2: 178</w:t>
      </w:r>
      <w:r w:rsidR="004C4E09" w:rsidRPr="004C4E09">
        <w:rPr>
          <w:rFonts w:eastAsiaTheme="minorHAnsi"/>
          <w:sz w:val="28"/>
          <w:szCs w:val="28"/>
          <w:lang w:val="ru-RU"/>
        </w:rPr>
        <w:t>–</w:t>
      </w:r>
      <w:r w:rsidRPr="002606A3">
        <w:rPr>
          <w:rFonts w:eastAsiaTheme="minorHAnsi"/>
          <w:sz w:val="28"/>
          <w:szCs w:val="28"/>
          <w:lang w:val="ru-RU"/>
        </w:rPr>
        <w:t>179]. Можно сделать вывод относительно влияния цивилизационной, социокультурной идентификации на профессиональную культуру журналистов. Данные факторы необходимо учитывать при формировании профессиональных компетенций, чтобы адаптировать начинающего журналиста к потенциальным рискам современной цифровой среды [1: 43</w:t>
      </w:r>
      <w:bookmarkStart w:id="2" w:name="_Hlk213939958"/>
      <w:r w:rsidR="004C4E09" w:rsidRPr="004C4E09">
        <w:rPr>
          <w:rFonts w:eastAsiaTheme="minorHAnsi"/>
          <w:sz w:val="28"/>
          <w:szCs w:val="28"/>
          <w:lang w:val="ru-RU"/>
        </w:rPr>
        <w:t>–</w:t>
      </w:r>
      <w:bookmarkEnd w:id="2"/>
      <w:r w:rsidRPr="002606A3">
        <w:rPr>
          <w:rFonts w:eastAsiaTheme="minorHAnsi"/>
          <w:sz w:val="28"/>
          <w:szCs w:val="28"/>
          <w:lang w:val="ru-RU"/>
        </w:rPr>
        <w:t>58].</w:t>
      </w:r>
      <w:r w:rsidR="004C4E09">
        <w:rPr>
          <w:rFonts w:eastAsiaTheme="minorHAnsi"/>
          <w:sz w:val="28"/>
          <w:szCs w:val="28"/>
          <w:lang w:val="ru-RU"/>
        </w:rPr>
        <w:t xml:space="preserve"> </w:t>
      </w:r>
    </w:p>
    <w:p w14:paraId="4175A62C" w14:textId="68166429" w:rsidR="00E72B7B" w:rsidRDefault="002606A3" w:rsidP="00120BB3">
      <w:pPr>
        <w:spacing w:line="360" w:lineRule="auto"/>
        <w:ind w:firstLine="709"/>
        <w:jc w:val="both"/>
        <w:rPr>
          <w:rFonts w:eastAsiaTheme="minorHAnsi"/>
          <w:sz w:val="28"/>
          <w:szCs w:val="28"/>
          <w:lang w:val="ru-RU"/>
        </w:rPr>
      </w:pPr>
      <w:r w:rsidRPr="002606A3">
        <w:rPr>
          <w:rFonts w:eastAsiaTheme="minorHAnsi"/>
          <w:sz w:val="28"/>
          <w:szCs w:val="28"/>
          <w:lang w:val="ru-RU"/>
        </w:rPr>
        <w:lastRenderedPageBreak/>
        <w:t>Таким образом, креативные индустрии формируют эстетику среды обитания горожан, а их репрезентация в медиа выполняет образовательную, этическую, социокультурную, гедонистическую функции.</w:t>
      </w:r>
    </w:p>
    <w:p w14:paraId="28861AD2" w14:textId="77777777" w:rsidR="00E72B7B" w:rsidRDefault="00E72B7B">
      <w:pPr>
        <w:spacing w:line="360" w:lineRule="auto"/>
        <w:ind w:firstLine="709"/>
        <w:jc w:val="both"/>
        <w:rPr>
          <w:rFonts w:eastAsiaTheme="minorHAnsi"/>
          <w:sz w:val="28"/>
          <w:szCs w:val="28"/>
          <w:lang w:val="ru-RU"/>
        </w:rPr>
      </w:pPr>
    </w:p>
    <w:p w14:paraId="679BC37B" w14:textId="42C3F0EA" w:rsidR="00E72B7B" w:rsidRPr="00D50B60" w:rsidRDefault="00D50B60" w:rsidP="00D50B60">
      <w:pPr>
        <w:spacing w:line="360" w:lineRule="auto"/>
        <w:ind w:firstLine="709"/>
        <w:jc w:val="both"/>
        <w:rPr>
          <w:rFonts w:eastAsiaTheme="minorHAnsi"/>
          <w:i/>
          <w:iCs/>
          <w:sz w:val="28"/>
          <w:szCs w:val="28"/>
          <w:lang w:val="ru-RU"/>
        </w:rPr>
      </w:pPr>
      <w:r w:rsidRPr="00D50B60">
        <w:rPr>
          <w:rFonts w:eastAsiaTheme="minorHAnsi"/>
          <w:i/>
          <w:iCs/>
          <w:sz w:val="28"/>
          <w:szCs w:val="28"/>
          <w:lang w:val="ru-RU"/>
        </w:rPr>
        <w:t>Литература</w:t>
      </w:r>
    </w:p>
    <w:p w14:paraId="14A96D06" w14:textId="4067077E" w:rsidR="002606A3" w:rsidRDefault="002606A3" w:rsidP="002606A3">
      <w:pPr>
        <w:spacing w:line="360" w:lineRule="auto"/>
        <w:ind w:firstLine="709"/>
        <w:jc w:val="both"/>
        <w:rPr>
          <w:rFonts w:eastAsiaTheme="minorHAnsi"/>
          <w:sz w:val="28"/>
          <w:szCs w:val="28"/>
          <w:lang w:val="ru-RU"/>
        </w:rPr>
      </w:pPr>
      <w:r w:rsidRPr="002606A3">
        <w:rPr>
          <w:rFonts w:eastAsiaTheme="minorHAnsi"/>
          <w:sz w:val="28"/>
          <w:szCs w:val="28"/>
          <w:lang w:val="ru-RU"/>
        </w:rPr>
        <w:t>1. Марьина Л. П. Историко-медийные смыслы интеграции высшего образования новых регионов РФ: вызовы современности</w:t>
      </w:r>
      <w:r>
        <w:rPr>
          <w:rFonts w:eastAsiaTheme="minorHAnsi"/>
          <w:sz w:val="28"/>
          <w:szCs w:val="28"/>
          <w:lang w:val="ru-RU"/>
        </w:rPr>
        <w:t xml:space="preserve"> </w:t>
      </w:r>
      <w:r w:rsidRPr="002606A3">
        <w:rPr>
          <w:rFonts w:eastAsiaTheme="minorHAnsi"/>
          <w:sz w:val="28"/>
          <w:szCs w:val="28"/>
          <w:lang w:val="ru-RU"/>
        </w:rPr>
        <w:t>//</w:t>
      </w:r>
      <w:r>
        <w:rPr>
          <w:rFonts w:eastAsiaTheme="minorHAnsi"/>
          <w:sz w:val="28"/>
          <w:szCs w:val="28"/>
          <w:lang w:val="ru-RU"/>
        </w:rPr>
        <w:t xml:space="preserve"> </w:t>
      </w:r>
      <w:r w:rsidRPr="002606A3">
        <w:rPr>
          <w:rFonts w:eastAsiaTheme="minorHAnsi"/>
          <w:sz w:val="28"/>
          <w:szCs w:val="28"/>
          <w:lang w:val="ru-RU"/>
        </w:rPr>
        <w:t>Интеграция университетов новых регионов РФ в структуру российского образования: ценности и культурные доминанты. СПб.: Медиапапир, 2025</w:t>
      </w:r>
      <w:r w:rsidR="004C4E09">
        <w:rPr>
          <w:rFonts w:eastAsiaTheme="minorHAnsi"/>
          <w:sz w:val="28"/>
          <w:szCs w:val="28"/>
          <w:lang w:val="ru-RU"/>
        </w:rPr>
        <w:t>.</w:t>
      </w:r>
      <w:r w:rsidRPr="002606A3">
        <w:rPr>
          <w:rFonts w:eastAsiaTheme="minorHAnsi"/>
          <w:sz w:val="28"/>
          <w:szCs w:val="28"/>
          <w:lang w:val="ru-RU"/>
        </w:rPr>
        <w:t xml:space="preserve"> </w:t>
      </w:r>
      <w:r w:rsidR="004C4E09">
        <w:rPr>
          <w:rFonts w:eastAsiaTheme="minorHAnsi"/>
          <w:sz w:val="28"/>
          <w:szCs w:val="28"/>
          <w:lang w:val="ru-RU"/>
        </w:rPr>
        <w:t>С</w:t>
      </w:r>
      <w:r w:rsidRPr="002606A3">
        <w:rPr>
          <w:rFonts w:eastAsiaTheme="minorHAnsi"/>
          <w:sz w:val="28"/>
          <w:szCs w:val="28"/>
          <w:lang w:val="ru-RU"/>
        </w:rPr>
        <w:t>.</w:t>
      </w:r>
      <w:r w:rsidR="004C4E09">
        <w:rPr>
          <w:rFonts w:eastAsiaTheme="minorHAnsi"/>
          <w:sz w:val="28"/>
          <w:szCs w:val="28"/>
          <w:lang w:val="ru-RU"/>
        </w:rPr>
        <w:t xml:space="preserve"> </w:t>
      </w:r>
      <w:r w:rsidRPr="002606A3">
        <w:rPr>
          <w:rFonts w:eastAsiaTheme="minorHAnsi"/>
          <w:sz w:val="28"/>
          <w:szCs w:val="28"/>
          <w:lang w:val="ru-RU"/>
        </w:rPr>
        <w:t>43</w:t>
      </w:r>
      <w:r w:rsidR="004C4E09" w:rsidRPr="004C4E09">
        <w:rPr>
          <w:rFonts w:eastAsiaTheme="minorHAnsi"/>
          <w:sz w:val="28"/>
          <w:szCs w:val="28"/>
          <w:lang w:val="ru-RU"/>
        </w:rPr>
        <w:t>–</w:t>
      </w:r>
      <w:r w:rsidRPr="002606A3">
        <w:rPr>
          <w:rFonts w:eastAsiaTheme="minorHAnsi"/>
          <w:sz w:val="28"/>
          <w:szCs w:val="28"/>
          <w:lang w:val="ru-RU"/>
        </w:rPr>
        <w:t xml:space="preserve">58. </w:t>
      </w:r>
    </w:p>
    <w:p w14:paraId="6DC3677F" w14:textId="557EE4A8" w:rsidR="002606A3" w:rsidRDefault="002606A3" w:rsidP="002606A3">
      <w:pPr>
        <w:spacing w:line="360" w:lineRule="auto"/>
        <w:ind w:firstLine="709"/>
        <w:jc w:val="both"/>
        <w:rPr>
          <w:rFonts w:eastAsiaTheme="minorHAnsi"/>
          <w:sz w:val="28"/>
          <w:szCs w:val="28"/>
          <w:lang w:val="ru-RU"/>
        </w:rPr>
      </w:pPr>
      <w:r w:rsidRPr="002606A3">
        <w:rPr>
          <w:rFonts w:eastAsiaTheme="minorHAnsi"/>
          <w:sz w:val="28"/>
          <w:szCs w:val="28"/>
          <w:lang w:val="ru-RU"/>
        </w:rPr>
        <w:t>2. Нигматуллина К. Р. Профессиональные ценности журналистов: ролевой набор</w:t>
      </w:r>
      <w:r>
        <w:rPr>
          <w:rFonts w:eastAsiaTheme="minorHAnsi"/>
          <w:sz w:val="28"/>
          <w:szCs w:val="28"/>
          <w:lang w:val="ru-RU"/>
        </w:rPr>
        <w:t xml:space="preserve"> </w:t>
      </w:r>
      <w:r w:rsidRPr="002606A3">
        <w:rPr>
          <w:rFonts w:eastAsiaTheme="minorHAnsi"/>
          <w:sz w:val="28"/>
          <w:szCs w:val="28"/>
          <w:lang w:val="ru-RU"/>
        </w:rPr>
        <w:t>//</w:t>
      </w:r>
      <w:r>
        <w:rPr>
          <w:rFonts w:eastAsiaTheme="minorHAnsi"/>
          <w:sz w:val="28"/>
          <w:szCs w:val="28"/>
          <w:lang w:val="ru-RU"/>
        </w:rPr>
        <w:t xml:space="preserve"> </w:t>
      </w:r>
      <w:r w:rsidRPr="002606A3">
        <w:rPr>
          <w:rFonts w:eastAsiaTheme="minorHAnsi"/>
          <w:sz w:val="28"/>
          <w:szCs w:val="28"/>
          <w:lang w:val="ru-RU"/>
        </w:rPr>
        <w:t>Медиааксиология «второй реальности»</w:t>
      </w:r>
      <w:r>
        <w:rPr>
          <w:rFonts w:eastAsiaTheme="minorHAnsi"/>
          <w:sz w:val="28"/>
          <w:szCs w:val="28"/>
          <w:lang w:val="ru-RU"/>
        </w:rPr>
        <w:t xml:space="preserve">. </w:t>
      </w:r>
      <w:r w:rsidRPr="002606A3">
        <w:rPr>
          <w:rFonts w:eastAsiaTheme="minorHAnsi"/>
          <w:sz w:val="28"/>
          <w:szCs w:val="28"/>
          <w:lang w:val="ru-RU"/>
        </w:rPr>
        <w:t>СПб.: Петрополис, 2025</w:t>
      </w:r>
      <w:r w:rsidR="004C4E09">
        <w:rPr>
          <w:rFonts w:eastAsiaTheme="minorHAnsi"/>
          <w:sz w:val="28"/>
          <w:szCs w:val="28"/>
          <w:lang w:val="ru-RU"/>
        </w:rPr>
        <w:t>.</w:t>
      </w:r>
      <w:r w:rsidRPr="002606A3">
        <w:rPr>
          <w:rFonts w:eastAsiaTheme="minorHAnsi"/>
          <w:sz w:val="28"/>
          <w:szCs w:val="28"/>
          <w:lang w:val="ru-RU"/>
        </w:rPr>
        <w:t xml:space="preserve"> </w:t>
      </w:r>
      <w:r w:rsidR="004C4E09">
        <w:rPr>
          <w:rFonts w:eastAsiaTheme="minorHAnsi"/>
          <w:sz w:val="28"/>
          <w:szCs w:val="28"/>
          <w:lang w:val="ru-RU"/>
        </w:rPr>
        <w:t>С</w:t>
      </w:r>
      <w:r w:rsidRPr="002606A3">
        <w:rPr>
          <w:rFonts w:eastAsiaTheme="minorHAnsi"/>
          <w:sz w:val="28"/>
          <w:szCs w:val="28"/>
          <w:lang w:val="ru-RU"/>
        </w:rPr>
        <w:t>.</w:t>
      </w:r>
      <w:r w:rsidR="004C4E09">
        <w:rPr>
          <w:rFonts w:eastAsiaTheme="minorHAnsi"/>
          <w:sz w:val="28"/>
          <w:szCs w:val="28"/>
          <w:lang w:val="ru-RU"/>
        </w:rPr>
        <w:t xml:space="preserve"> </w:t>
      </w:r>
      <w:r w:rsidRPr="002606A3">
        <w:rPr>
          <w:rFonts w:eastAsiaTheme="minorHAnsi"/>
          <w:sz w:val="28"/>
          <w:szCs w:val="28"/>
          <w:lang w:val="ru-RU"/>
        </w:rPr>
        <w:t>178</w:t>
      </w:r>
      <w:r w:rsidR="004C4E09" w:rsidRPr="004C4E09">
        <w:rPr>
          <w:rFonts w:eastAsiaTheme="minorHAnsi"/>
          <w:sz w:val="28"/>
          <w:szCs w:val="28"/>
          <w:lang w:val="ru-RU"/>
        </w:rPr>
        <w:t>–</w:t>
      </w:r>
      <w:r w:rsidRPr="002606A3">
        <w:rPr>
          <w:rFonts w:eastAsiaTheme="minorHAnsi"/>
          <w:sz w:val="28"/>
          <w:szCs w:val="28"/>
          <w:lang w:val="ru-RU"/>
        </w:rPr>
        <w:t xml:space="preserve">179. </w:t>
      </w:r>
    </w:p>
    <w:p w14:paraId="5CB3C5D4" w14:textId="193B498D" w:rsidR="002606A3" w:rsidRDefault="002606A3" w:rsidP="002606A3">
      <w:pPr>
        <w:spacing w:line="360" w:lineRule="auto"/>
        <w:ind w:firstLine="709"/>
        <w:jc w:val="both"/>
        <w:rPr>
          <w:rFonts w:eastAsiaTheme="minorHAnsi"/>
          <w:sz w:val="28"/>
          <w:szCs w:val="28"/>
          <w:lang w:val="ru-RU"/>
        </w:rPr>
      </w:pPr>
      <w:r w:rsidRPr="002606A3">
        <w:rPr>
          <w:rFonts w:eastAsiaTheme="minorHAnsi"/>
          <w:sz w:val="28"/>
          <w:szCs w:val="28"/>
          <w:lang w:val="ru-RU"/>
        </w:rPr>
        <w:t>3. Олокина М. А.</w:t>
      </w:r>
      <w:r w:rsidR="004C4E09">
        <w:rPr>
          <w:rFonts w:eastAsiaTheme="minorHAnsi"/>
          <w:sz w:val="28"/>
          <w:szCs w:val="28"/>
          <w:lang w:val="ru-RU"/>
        </w:rPr>
        <w:t>,</w:t>
      </w:r>
      <w:r w:rsidRPr="002606A3">
        <w:rPr>
          <w:rFonts w:eastAsiaTheme="minorHAnsi"/>
          <w:sz w:val="28"/>
          <w:szCs w:val="28"/>
          <w:lang w:val="ru-RU"/>
        </w:rPr>
        <w:t xml:space="preserve"> </w:t>
      </w:r>
      <w:r w:rsidR="004C4E09" w:rsidRPr="004C4E09">
        <w:rPr>
          <w:rFonts w:eastAsiaTheme="minorHAnsi"/>
          <w:sz w:val="28"/>
          <w:szCs w:val="28"/>
          <w:lang w:val="ru-RU"/>
        </w:rPr>
        <w:t xml:space="preserve">Юркина И. А. </w:t>
      </w:r>
      <w:r w:rsidRPr="002606A3">
        <w:rPr>
          <w:rFonts w:eastAsiaTheme="minorHAnsi"/>
          <w:sz w:val="28"/>
          <w:szCs w:val="28"/>
          <w:lang w:val="ru-RU"/>
        </w:rPr>
        <w:t>Креативные пространства как фактор развития эстетической культуры // Молодежь. Наука. Культура: матер</w:t>
      </w:r>
      <w:r w:rsidR="004C4E09">
        <w:rPr>
          <w:rFonts w:eastAsiaTheme="minorHAnsi"/>
          <w:sz w:val="28"/>
          <w:szCs w:val="28"/>
          <w:lang w:val="ru-RU"/>
        </w:rPr>
        <w:t xml:space="preserve">. </w:t>
      </w:r>
      <w:r w:rsidRPr="002606A3">
        <w:rPr>
          <w:rFonts w:eastAsiaTheme="minorHAnsi"/>
          <w:sz w:val="28"/>
          <w:szCs w:val="28"/>
          <w:lang w:val="ru-RU"/>
        </w:rPr>
        <w:t>студенческой научно-практич</w:t>
      </w:r>
      <w:r w:rsidR="004C4E09">
        <w:rPr>
          <w:rFonts w:eastAsiaTheme="minorHAnsi"/>
          <w:sz w:val="28"/>
          <w:szCs w:val="28"/>
          <w:lang w:val="ru-RU"/>
        </w:rPr>
        <w:t>.</w:t>
      </w:r>
      <w:r w:rsidRPr="002606A3">
        <w:rPr>
          <w:rFonts w:eastAsiaTheme="minorHAnsi"/>
          <w:sz w:val="28"/>
          <w:szCs w:val="28"/>
          <w:lang w:val="ru-RU"/>
        </w:rPr>
        <w:t xml:space="preserve"> конф</w:t>
      </w:r>
      <w:r w:rsidR="004C4E09">
        <w:rPr>
          <w:rFonts w:eastAsiaTheme="minorHAnsi"/>
          <w:sz w:val="28"/>
          <w:szCs w:val="28"/>
          <w:lang w:val="ru-RU"/>
        </w:rPr>
        <w:t>.</w:t>
      </w:r>
      <w:r w:rsidRPr="002606A3">
        <w:rPr>
          <w:rFonts w:eastAsiaTheme="minorHAnsi"/>
          <w:sz w:val="28"/>
          <w:szCs w:val="28"/>
          <w:lang w:val="ru-RU"/>
        </w:rPr>
        <w:t xml:space="preserve"> в рамках недели молодежной науки, Казань, 15–19 апреля 2024 г. Казань: Б.</w:t>
      </w:r>
      <w:r w:rsidR="004C4E09">
        <w:rPr>
          <w:rFonts w:eastAsiaTheme="minorHAnsi"/>
          <w:sz w:val="28"/>
          <w:szCs w:val="28"/>
          <w:lang w:val="ru-RU"/>
        </w:rPr>
        <w:t xml:space="preserve"> </w:t>
      </w:r>
      <w:r w:rsidRPr="002606A3">
        <w:rPr>
          <w:rFonts w:eastAsiaTheme="minorHAnsi"/>
          <w:sz w:val="28"/>
          <w:szCs w:val="28"/>
          <w:lang w:val="ru-RU"/>
        </w:rPr>
        <w:t>и., 2024. С. 207</w:t>
      </w:r>
      <w:r w:rsidR="004C4E09" w:rsidRPr="004C4E09">
        <w:rPr>
          <w:rFonts w:eastAsiaTheme="minorHAnsi"/>
          <w:sz w:val="28"/>
          <w:szCs w:val="28"/>
          <w:lang w:val="ru-RU"/>
        </w:rPr>
        <w:t>–</w:t>
      </w:r>
      <w:r w:rsidRPr="002606A3">
        <w:rPr>
          <w:rFonts w:eastAsiaTheme="minorHAnsi"/>
          <w:sz w:val="28"/>
          <w:szCs w:val="28"/>
          <w:lang w:val="ru-RU"/>
        </w:rPr>
        <w:t xml:space="preserve">211. </w:t>
      </w:r>
    </w:p>
    <w:p w14:paraId="6958A7A8" w14:textId="7491511A" w:rsidR="00E72B7B" w:rsidRPr="00E2012B" w:rsidRDefault="002606A3" w:rsidP="002606A3">
      <w:pPr>
        <w:spacing w:line="360" w:lineRule="auto"/>
        <w:ind w:firstLine="709"/>
        <w:jc w:val="both"/>
        <w:rPr>
          <w:rFonts w:eastAsiaTheme="minorHAnsi"/>
          <w:sz w:val="28"/>
          <w:szCs w:val="28"/>
        </w:rPr>
      </w:pPr>
      <w:r w:rsidRPr="002606A3">
        <w:rPr>
          <w:rFonts w:eastAsiaTheme="minorHAnsi"/>
          <w:sz w:val="28"/>
          <w:szCs w:val="28"/>
          <w:lang w:val="ru-RU"/>
        </w:rPr>
        <w:t>4. Пронин А. А. В поиске новых культурных городских смыслов и практик // Культура открытого города: новые смыслы и практики: матер</w:t>
      </w:r>
      <w:r w:rsidR="004C4E09">
        <w:rPr>
          <w:rFonts w:eastAsiaTheme="minorHAnsi"/>
          <w:sz w:val="28"/>
          <w:szCs w:val="28"/>
          <w:lang w:val="ru-RU"/>
        </w:rPr>
        <w:t>.</w:t>
      </w:r>
      <w:r w:rsidRPr="002606A3">
        <w:rPr>
          <w:rFonts w:eastAsiaTheme="minorHAnsi"/>
          <w:sz w:val="28"/>
          <w:szCs w:val="28"/>
          <w:lang w:val="ru-RU"/>
        </w:rPr>
        <w:t xml:space="preserve"> V Всерос</w:t>
      </w:r>
      <w:r w:rsidR="004C4E09">
        <w:rPr>
          <w:rFonts w:eastAsiaTheme="minorHAnsi"/>
          <w:sz w:val="28"/>
          <w:szCs w:val="28"/>
          <w:lang w:val="ru-RU"/>
        </w:rPr>
        <w:t>.</w:t>
      </w:r>
      <w:r w:rsidRPr="002606A3">
        <w:rPr>
          <w:rFonts w:eastAsiaTheme="minorHAnsi"/>
          <w:sz w:val="28"/>
          <w:szCs w:val="28"/>
          <w:lang w:val="ru-RU"/>
        </w:rPr>
        <w:t xml:space="preserve"> (с международным участием) научно-практич</w:t>
      </w:r>
      <w:r w:rsidR="004C4E09">
        <w:rPr>
          <w:rFonts w:eastAsiaTheme="minorHAnsi"/>
          <w:sz w:val="28"/>
          <w:szCs w:val="28"/>
          <w:lang w:val="ru-RU"/>
        </w:rPr>
        <w:t>.</w:t>
      </w:r>
      <w:r w:rsidRPr="002606A3">
        <w:rPr>
          <w:rFonts w:eastAsiaTheme="minorHAnsi"/>
          <w:sz w:val="28"/>
          <w:szCs w:val="28"/>
          <w:lang w:val="ru-RU"/>
        </w:rPr>
        <w:t xml:space="preserve"> конф</w:t>
      </w:r>
      <w:r w:rsidR="004C4E09">
        <w:rPr>
          <w:rFonts w:eastAsiaTheme="minorHAnsi"/>
          <w:sz w:val="28"/>
          <w:szCs w:val="28"/>
          <w:lang w:val="ru-RU"/>
        </w:rPr>
        <w:t>.</w:t>
      </w:r>
      <w:r w:rsidRPr="002606A3">
        <w:rPr>
          <w:rFonts w:eastAsiaTheme="minorHAnsi"/>
          <w:sz w:val="28"/>
          <w:szCs w:val="28"/>
          <w:lang w:val="ru-RU"/>
        </w:rPr>
        <w:t xml:space="preserve"> студентов, аспирантов и молодых ученых</w:t>
      </w:r>
      <w:r w:rsidR="004C4E09">
        <w:rPr>
          <w:rFonts w:eastAsiaTheme="minorHAnsi"/>
          <w:sz w:val="28"/>
          <w:szCs w:val="28"/>
          <w:lang w:val="ru-RU"/>
        </w:rPr>
        <w:t xml:space="preserve"> </w:t>
      </w:r>
      <w:r w:rsidRPr="002606A3">
        <w:rPr>
          <w:rFonts w:eastAsiaTheme="minorHAnsi"/>
          <w:sz w:val="28"/>
          <w:szCs w:val="28"/>
          <w:lang w:val="ru-RU"/>
        </w:rPr>
        <w:t>/</w:t>
      </w:r>
      <w:r w:rsidR="004C4E09">
        <w:rPr>
          <w:rFonts w:eastAsiaTheme="minorHAnsi"/>
          <w:sz w:val="28"/>
          <w:szCs w:val="28"/>
          <w:lang w:val="ru-RU"/>
        </w:rPr>
        <w:t xml:space="preserve"> </w:t>
      </w:r>
      <w:r w:rsidRPr="002606A3">
        <w:rPr>
          <w:rFonts w:eastAsiaTheme="minorHAnsi"/>
          <w:sz w:val="28"/>
          <w:szCs w:val="28"/>
          <w:lang w:val="ru-RU"/>
        </w:rPr>
        <w:t>науч. ред. А. А. Пронин, Л. Е. Петрова, И. А. Ахьямова. Екатеринбург: Екатеринбургская академия современного искусства, 2017. С. 4–9.</w:t>
      </w:r>
    </w:p>
    <w:sectPr w:rsidR="00E72B7B" w:rsidRPr="00E2012B">
      <w:pgSz w:w="11906" w:h="16838"/>
      <w:pgMar w:top="960" w:right="1106"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A963"/>
    <w:multiLevelType w:val="singleLevel"/>
    <w:tmpl w:val="2ACCA963"/>
    <w:lvl w:ilvl="0">
      <w:start w:val="1"/>
      <w:numFmt w:val="decimal"/>
      <w:suff w:val="space"/>
      <w:lvlText w:val="%1."/>
      <w:lvlJc w:val="left"/>
    </w:lvl>
  </w:abstractNum>
  <w:abstractNum w:abstractNumId="1" w15:restartNumberingAfterBreak="0">
    <w:nsid w:val="72B84F7A"/>
    <w:multiLevelType w:val="hybridMultilevel"/>
    <w:tmpl w:val="A2342AE8"/>
    <w:lvl w:ilvl="0" w:tplc="6BB434C4">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68338567">
    <w:abstractNumId w:val="0"/>
  </w:num>
  <w:num w:numId="2" w16cid:durableId="26110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B"/>
    <w:rsid w:val="00016B95"/>
    <w:rsid w:val="00120BB3"/>
    <w:rsid w:val="001574B1"/>
    <w:rsid w:val="0017220E"/>
    <w:rsid w:val="001D1DF2"/>
    <w:rsid w:val="002606A3"/>
    <w:rsid w:val="002A578F"/>
    <w:rsid w:val="002F72F9"/>
    <w:rsid w:val="0034766E"/>
    <w:rsid w:val="00393B9E"/>
    <w:rsid w:val="003D6E66"/>
    <w:rsid w:val="003E65E2"/>
    <w:rsid w:val="00421929"/>
    <w:rsid w:val="004C323F"/>
    <w:rsid w:val="004C4E09"/>
    <w:rsid w:val="006209BC"/>
    <w:rsid w:val="007254C4"/>
    <w:rsid w:val="007D569D"/>
    <w:rsid w:val="008863D2"/>
    <w:rsid w:val="008C7A68"/>
    <w:rsid w:val="00A771B7"/>
    <w:rsid w:val="00AA2BBB"/>
    <w:rsid w:val="00AA4EBC"/>
    <w:rsid w:val="00BA5423"/>
    <w:rsid w:val="00BF5837"/>
    <w:rsid w:val="00D50B60"/>
    <w:rsid w:val="00E2012B"/>
    <w:rsid w:val="00E72B7B"/>
    <w:rsid w:val="00F95C7B"/>
    <w:rsid w:val="00FC264D"/>
    <w:rsid w:val="6095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7E48"/>
  <w15:docId w15:val="{4FB7E3D4-87D3-4165-BB98-92F80F2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4"/>
      <w:szCs w:val="24"/>
    </w:rPr>
  </w:style>
  <w:style w:type="paragraph" w:styleId="5">
    <w:name w:val="heading 5"/>
    <w:next w:val="a"/>
    <w:qFormat/>
    <w:pPr>
      <w:outlineLvl w:val="4"/>
    </w:pPr>
    <w:rPr>
      <w:color w:val="2E74B5"/>
      <w:sz w:val="24"/>
      <w:szCs w:val="24"/>
    </w:rPr>
  </w:style>
  <w:style w:type="paragraph" w:styleId="6">
    <w:name w:val="heading 6"/>
    <w:next w:val="a"/>
    <w:qFormat/>
    <w:pPr>
      <w:outlineLvl w:val="5"/>
    </w:pPr>
    <w:rPr>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Hyperlink"/>
    <w:uiPriority w:val="99"/>
    <w:unhideWhenUsed/>
    <w:rPr>
      <w:color w:val="0563C1"/>
      <w:u w:val="single" w:color="0563C1"/>
    </w:rPr>
  </w:style>
  <w:style w:type="paragraph" w:styleId="a5">
    <w:name w:val="footnote text"/>
    <w:link w:val="a6"/>
    <w:uiPriority w:val="99"/>
    <w:semiHidden/>
    <w:unhideWhenUsed/>
  </w:style>
  <w:style w:type="paragraph" w:styleId="a7">
    <w:name w:val="Title"/>
    <w:qFormat/>
    <w:rPr>
      <w:sz w:val="56"/>
      <w:szCs w:val="56"/>
    </w:rPr>
  </w:style>
  <w:style w:type="paragraph" w:styleId="a8">
    <w:name w:val="List Paragraph"/>
    <w:qFormat/>
    <w:rPr>
      <w:sz w:val="24"/>
      <w:szCs w:val="24"/>
    </w:rPr>
  </w:style>
  <w:style w:type="character" w:customStyle="1" w:styleId="a6">
    <w:name w:val="Текст сноски Знак"/>
    <w:link w:val="a5"/>
    <w:uiPriority w:val="99"/>
    <w:semiHidden/>
    <w:unhideWhenUsed/>
    <w:qFormat/>
    <w:rPr>
      <w:sz w:val="20"/>
      <w:szCs w:val="20"/>
    </w:rPr>
  </w:style>
  <w:style w:type="paragraph" w:customStyle="1" w:styleId="MdSpace">
    <w:name w:val="MdSpace"/>
    <w:qFormat/>
    <w:rPr>
      <w:sz w:val="12"/>
      <w:szCs w:val="12"/>
    </w:rPr>
  </w:style>
  <w:style w:type="paragraph" w:customStyle="1" w:styleId="MdCode">
    <w:name w:val="MdCode"/>
    <w:qFormat/>
    <w:pPr>
      <w:pBdr>
        <w:top w:val="single" w:sz="2" w:space="8" w:color="A5A5A5"/>
        <w:left w:val="single" w:sz="2" w:space="8" w:color="A5A5A5"/>
        <w:bottom w:val="single" w:sz="2" w:space="8" w:color="A5A5A5"/>
        <w:right w:val="single" w:sz="2"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2" w:space="1" w:color="A5A5A5"/>
      </w:pBdr>
      <w:spacing w:before="240" w:after="240"/>
    </w:pPr>
    <w:rPr>
      <w:sz w:val="24"/>
      <w:szCs w:val="24"/>
    </w:rPr>
  </w:style>
  <w:style w:type="paragraph" w:customStyle="1" w:styleId="MdBlockquote">
    <w:name w:val="MdBlockquote"/>
    <w:qFormat/>
    <w:pPr>
      <w:pBdr>
        <w:left w:val="single" w:sz="20" w:space="12" w:color="A5A5A5"/>
      </w:pBdr>
      <w:spacing w:before="200" w:after="200"/>
      <w:ind w:left="360"/>
    </w:pPr>
    <w:rPr>
      <w:i/>
      <w:iCs/>
      <w:color w:val="666666"/>
      <w:sz w:val="24"/>
      <w:szCs w:val="24"/>
    </w:rPr>
  </w:style>
  <w:style w:type="paragraph" w:customStyle="1" w:styleId="MdHtml">
    <w:name w:val="MdHtml"/>
    <w:qFormat/>
    <w:rPr>
      <w:rFonts w:ascii="Courier New" w:eastAsia="Courier New" w:hAnsi="Courier New" w:cs="Courier New"/>
      <w:color w:val="ED7D31"/>
      <w:sz w:val="24"/>
      <w:szCs w:val="24"/>
    </w:rPr>
  </w:style>
  <w:style w:type="paragraph" w:customStyle="1" w:styleId="MdDef">
    <w:name w:val="MdDef"/>
    <w:qFormat/>
    <w:pPr>
      <w:ind w:left="720" w:hanging="360"/>
    </w:pPr>
    <w:rPr>
      <w:sz w:val="24"/>
      <w:szCs w:val="24"/>
    </w:rPr>
  </w:style>
  <w:style w:type="paragraph" w:customStyle="1" w:styleId="MdParagraph">
    <w:name w:val="MdParagraph"/>
    <w:qFormat/>
    <w:pPr>
      <w:spacing w:before="120" w:after="120"/>
    </w:pPr>
    <w:rPr>
      <w:sz w:val="24"/>
      <w:szCs w:val="24"/>
    </w:rPr>
  </w:style>
  <w:style w:type="paragraph" w:customStyle="1" w:styleId="MdText">
    <w:name w:val="MdText"/>
    <w:qFormat/>
    <w:rPr>
      <w:sz w:val="24"/>
      <w:szCs w:val="24"/>
    </w:rPr>
  </w:style>
  <w:style w:type="paragraph" w:customStyle="1" w:styleId="MdFootnote">
    <w:name w:val="MdFootnote"/>
    <w:qFormat/>
    <w:rPr>
      <w:sz w:val="24"/>
      <w:szCs w:val="24"/>
      <w:vertAlign w:val="superscript"/>
    </w:rPr>
  </w:style>
  <w:style w:type="paragraph" w:customStyle="1" w:styleId="MdListItem">
    <w:name w:val="MdListItem"/>
    <w:qFormat/>
    <w:pPr>
      <w:spacing w:before="60" w:after="60"/>
      <w:ind w:left="720" w:hanging="360"/>
    </w:pPr>
    <w:rPr>
      <w:sz w:val="24"/>
      <w:szCs w:val="24"/>
    </w:rPr>
  </w:style>
  <w:style w:type="paragraph" w:customStyle="1" w:styleId="MdTable">
    <w:name w:val="MdTable"/>
    <w:qFormat/>
    <w:pPr>
      <w:spacing w:before="60" w:after="60"/>
    </w:pPr>
    <w:rPr>
      <w:sz w:val="24"/>
      <w:szCs w:val="24"/>
    </w:r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sz w:val="24"/>
      <w:szCs w:val="24"/>
    </w:rPr>
  </w:style>
  <w:style w:type="paragraph" w:customStyle="1" w:styleId="MdHeading6">
    <w:name w:val="MdHeading6"/>
    <w:qFormat/>
    <w:pPr>
      <w:keepNext/>
      <w:spacing w:before="240" w:after="120"/>
      <w:outlineLvl w:val="5"/>
    </w:pPr>
    <w:rPr>
      <w:i/>
      <w:iCs/>
      <w:sz w:val="24"/>
      <w:szCs w:val="24"/>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a9">
    <w:name w:val="Unresolved Mention"/>
    <w:basedOn w:val="a0"/>
    <w:uiPriority w:val="99"/>
    <w:semiHidden/>
    <w:unhideWhenUsed/>
    <w:rsid w:val="00016B95"/>
    <w:rPr>
      <w:color w:val="605E5C"/>
      <w:shd w:val="clear" w:color="auto" w:fill="E1DFDD"/>
    </w:rPr>
  </w:style>
  <w:style w:type="character" w:styleId="aa">
    <w:name w:val="FollowedHyperlink"/>
    <w:basedOn w:val="a0"/>
    <w:rsid w:val="002A5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974</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Converted Document</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PC Huawei</cp:lastModifiedBy>
  <cp:revision>3</cp:revision>
  <dcterms:created xsi:type="dcterms:W3CDTF">2025-11-13T12:11:00Z</dcterms:created>
  <dcterms:modified xsi:type="dcterms:W3CDTF">2025-11-13T12:30:00Z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71D74C0E3F6F4491953292DD91E4A3B5_12</vt:lpwstr>
  </property>
</Properties>
</file>