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24E9E7E8" w:rsidR="00E72B7B" w:rsidRDefault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34766E">
        <w:rPr>
          <w:rFonts w:eastAsiaTheme="minorHAnsi"/>
          <w:sz w:val="28"/>
          <w:szCs w:val="28"/>
          <w:lang w:val="ru-RU"/>
        </w:rPr>
        <w:t xml:space="preserve">Людмила Петровна Саенкова-Мельницкая </w:t>
      </w:r>
    </w:p>
    <w:p w14:paraId="329C9174" w14:textId="5E70777E" w:rsidR="00E72B7B" w:rsidRPr="00AA4EBC" w:rsidRDefault="0034766E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4766E">
        <w:rPr>
          <w:rFonts w:eastAsiaTheme="minorHAnsi"/>
          <w:i/>
          <w:iCs/>
          <w:sz w:val="28"/>
          <w:szCs w:val="28"/>
          <w:lang w:val="ru-RU"/>
        </w:rPr>
        <w:t>Белорусский государственный университет</w:t>
      </w:r>
      <w:r w:rsidR="00237581">
        <w:rPr>
          <w:rFonts w:eastAsiaTheme="minorHAnsi"/>
          <w:i/>
          <w:iCs/>
          <w:sz w:val="28"/>
          <w:szCs w:val="28"/>
          <w:lang w:val="ru-RU"/>
        </w:rPr>
        <w:t xml:space="preserve"> (</w:t>
      </w:r>
      <w:r>
        <w:rPr>
          <w:rFonts w:eastAsiaTheme="minorHAnsi"/>
          <w:i/>
          <w:iCs/>
          <w:sz w:val="28"/>
          <w:szCs w:val="28"/>
          <w:lang w:val="ru-RU"/>
        </w:rPr>
        <w:t>Минск</w:t>
      </w:r>
      <w:r w:rsidR="00237581">
        <w:rPr>
          <w:rFonts w:eastAsiaTheme="minorHAnsi"/>
          <w:i/>
          <w:iCs/>
          <w:sz w:val="28"/>
          <w:szCs w:val="28"/>
          <w:lang w:val="ru-RU"/>
        </w:rPr>
        <w:t>)</w:t>
      </w:r>
    </w:p>
    <w:p w14:paraId="0C37494E" w14:textId="6880FF71" w:rsidR="00FC264D" w:rsidRDefault="0034766E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34766E">
        <w:rPr>
          <w:rFonts w:eastAsiaTheme="minorHAnsi"/>
          <w:sz w:val="28"/>
          <w:szCs w:val="28"/>
          <w:lang w:val="ru-RU"/>
        </w:rPr>
        <w:t>sayenkova@gmail.com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26026F44" w14:textId="77777777" w:rsidR="00237581" w:rsidRDefault="0034766E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34766E">
        <w:rPr>
          <w:rFonts w:eastAsiaTheme="minorHAnsi"/>
          <w:b/>
          <w:bCs/>
          <w:sz w:val="28"/>
          <w:szCs w:val="28"/>
          <w:lang w:val="ru-RU"/>
        </w:rPr>
        <w:t xml:space="preserve">Культурная память в журналистике: </w:t>
      </w:r>
    </w:p>
    <w:p w14:paraId="66FE5A05" w14:textId="1BA50D78" w:rsidR="00E72B7B" w:rsidRDefault="0034766E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34766E">
        <w:rPr>
          <w:rFonts w:eastAsiaTheme="minorHAnsi"/>
          <w:b/>
          <w:bCs/>
          <w:sz w:val="28"/>
          <w:szCs w:val="28"/>
          <w:lang w:val="ru-RU"/>
        </w:rPr>
        <w:t>между «холодной» и «горячей» культурой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4E634282" w:rsidR="00E72B7B" w:rsidRDefault="0034766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4766E">
        <w:rPr>
          <w:rFonts w:eastAsiaTheme="minorHAnsi"/>
          <w:sz w:val="28"/>
          <w:szCs w:val="28"/>
          <w:lang w:val="ru-RU"/>
        </w:rPr>
        <w:t>Рассматриваются характеристики понятия «культурная память». Категория культурной памяти актуализируется в контексте журналистики. Акцентируется внимание на особенностях представления культурной памяти в белорусских средствах массовой информации, детерминированн</w:t>
      </w:r>
      <w:r w:rsidRPr="00237581">
        <w:rPr>
          <w:rFonts w:eastAsiaTheme="minorHAnsi"/>
          <w:sz w:val="28"/>
          <w:szCs w:val="28"/>
          <w:lang w:val="ru-RU"/>
        </w:rPr>
        <w:t>ы</w:t>
      </w:r>
      <w:r w:rsidR="00237581">
        <w:rPr>
          <w:rFonts w:eastAsiaTheme="minorHAnsi"/>
          <w:sz w:val="28"/>
          <w:szCs w:val="28"/>
          <w:lang w:val="ru-RU"/>
        </w:rPr>
        <w:t>х</w:t>
      </w:r>
      <w:r w:rsidRPr="0034766E">
        <w:rPr>
          <w:rFonts w:eastAsiaTheme="minorHAnsi"/>
          <w:sz w:val="28"/>
          <w:szCs w:val="28"/>
          <w:lang w:val="ru-RU"/>
        </w:rPr>
        <w:t xml:space="preserve"> принципами «холодной» или «горячей» культуры.</w:t>
      </w:r>
    </w:p>
    <w:p w14:paraId="2211EA08" w14:textId="64665DB9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016B95" w:rsidRPr="00016B95">
        <w:rPr>
          <w:rFonts w:eastAsiaTheme="minorHAnsi"/>
          <w:sz w:val="28"/>
          <w:szCs w:val="28"/>
          <w:lang w:val="ru-RU"/>
        </w:rPr>
        <w:t>культура, журналистика, культурная память, холодная культура, горячая культура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7A8B552C" w14:textId="0018EB1D" w:rsidR="00016B95" w:rsidRDefault="0034766E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4766E">
        <w:rPr>
          <w:rFonts w:eastAsiaTheme="minorHAnsi"/>
          <w:sz w:val="28"/>
          <w:szCs w:val="28"/>
          <w:lang w:val="ru-RU"/>
        </w:rPr>
        <w:t>Культура способствует тому, что в обществе «вырабатываются, сохраняются и циркулируют духовные феномены, благодаря которым на базовом уровне обеспечиваются согласие и единение людей» [4:</w:t>
      </w:r>
      <w:r w:rsidR="00016B95">
        <w:rPr>
          <w:rFonts w:eastAsiaTheme="minorHAnsi"/>
          <w:sz w:val="28"/>
          <w:szCs w:val="28"/>
          <w:lang w:val="ru-RU"/>
        </w:rPr>
        <w:t> </w:t>
      </w:r>
      <w:r w:rsidRPr="0034766E">
        <w:rPr>
          <w:rFonts w:eastAsiaTheme="minorHAnsi"/>
          <w:sz w:val="28"/>
          <w:szCs w:val="28"/>
          <w:lang w:val="ru-RU"/>
        </w:rPr>
        <w:t>12]. Важной «коннективной структурой» (термин Я</w:t>
      </w:r>
      <w:r w:rsidRPr="002F399E">
        <w:rPr>
          <w:rFonts w:eastAsiaTheme="minorHAnsi"/>
          <w:sz w:val="28"/>
          <w:szCs w:val="28"/>
          <w:lang w:val="ru-RU"/>
        </w:rPr>
        <w:t>.</w:t>
      </w:r>
      <w:r w:rsidR="00016B95" w:rsidRPr="002F399E">
        <w:rPr>
          <w:rFonts w:eastAsiaTheme="minorHAnsi"/>
          <w:sz w:val="28"/>
          <w:szCs w:val="28"/>
          <w:lang w:val="ru-RU"/>
        </w:rPr>
        <w:t> </w:t>
      </w:r>
      <w:r w:rsidRPr="002F399E">
        <w:rPr>
          <w:rFonts w:eastAsiaTheme="minorHAnsi"/>
          <w:sz w:val="28"/>
          <w:szCs w:val="28"/>
          <w:lang w:val="ru-RU"/>
        </w:rPr>
        <w:t>А</w:t>
      </w:r>
      <w:r w:rsidR="002F399E" w:rsidRPr="002F399E">
        <w:rPr>
          <w:rFonts w:eastAsiaTheme="minorHAnsi"/>
          <w:sz w:val="28"/>
          <w:szCs w:val="28"/>
          <w:lang w:val="ru-RU"/>
        </w:rPr>
        <w:t>с</w:t>
      </w:r>
      <w:r w:rsidRPr="002F399E">
        <w:rPr>
          <w:rFonts w:eastAsiaTheme="minorHAnsi"/>
          <w:sz w:val="28"/>
          <w:szCs w:val="28"/>
          <w:lang w:val="ru-RU"/>
        </w:rPr>
        <w:t>смана</w:t>
      </w:r>
      <w:r w:rsidRPr="0034766E">
        <w:rPr>
          <w:rFonts w:eastAsiaTheme="minorHAnsi"/>
          <w:sz w:val="28"/>
          <w:szCs w:val="28"/>
          <w:lang w:val="ru-RU"/>
        </w:rPr>
        <w:t>), выполняющей объединяющую функцию, является журналистика. Транслируемый этой сферой творческой деятельности «символический мир смыслов» (термин Т.</w:t>
      </w:r>
      <w:r w:rsidR="00016B95">
        <w:rPr>
          <w:rFonts w:eastAsiaTheme="minorHAnsi"/>
          <w:sz w:val="28"/>
          <w:szCs w:val="28"/>
          <w:lang w:val="ru-RU"/>
        </w:rPr>
        <w:t> </w:t>
      </w:r>
      <w:r w:rsidRPr="0034766E">
        <w:rPr>
          <w:rFonts w:eastAsiaTheme="minorHAnsi"/>
          <w:sz w:val="28"/>
          <w:szCs w:val="28"/>
          <w:lang w:val="ru-RU"/>
        </w:rPr>
        <w:t>Лукмана и П.</w:t>
      </w:r>
      <w:r w:rsidR="00016B95">
        <w:rPr>
          <w:rFonts w:eastAsiaTheme="minorHAnsi"/>
          <w:sz w:val="28"/>
          <w:szCs w:val="28"/>
          <w:lang w:val="ru-RU"/>
        </w:rPr>
        <w:t> </w:t>
      </w:r>
      <w:r w:rsidRPr="0034766E">
        <w:rPr>
          <w:rFonts w:eastAsiaTheme="minorHAnsi"/>
          <w:sz w:val="28"/>
          <w:szCs w:val="28"/>
          <w:lang w:val="ru-RU"/>
        </w:rPr>
        <w:t>Л.</w:t>
      </w:r>
      <w:r w:rsidR="00016B95">
        <w:rPr>
          <w:rFonts w:eastAsiaTheme="minorHAnsi"/>
          <w:sz w:val="28"/>
          <w:szCs w:val="28"/>
          <w:lang w:val="ru-RU"/>
        </w:rPr>
        <w:t> </w:t>
      </w:r>
      <w:r w:rsidRPr="0034766E">
        <w:rPr>
          <w:rFonts w:eastAsiaTheme="minorHAnsi"/>
          <w:sz w:val="28"/>
          <w:szCs w:val="28"/>
          <w:lang w:val="ru-RU"/>
        </w:rPr>
        <w:t>Бергера), способствующий конструированию и презентации реальности, «связывает человека с его современниками, образуя общее пространство опыта, ожиданий и деятельности, чья связующая и обязующая сила устанавливает взаимное доверие и возможность ориентации» [1:</w:t>
      </w:r>
      <w:r w:rsidR="00016B95">
        <w:rPr>
          <w:rFonts w:eastAsiaTheme="minorHAnsi"/>
          <w:sz w:val="28"/>
          <w:szCs w:val="28"/>
          <w:lang w:val="ru-RU"/>
        </w:rPr>
        <w:t> </w:t>
      </w:r>
      <w:r w:rsidRPr="0034766E">
        <w:rPr>
          <w:rFonts w:eastAsiaTheme="minorHAnsi"/>
          <w:sz w:val="28"/>
          <w:szCs w:val="28"/>
          <w:lang w:val="ru-RU"/>
        </w:rPr>
        <w:t>15]. Один из векторов реализации объединяющей функции медиа направлен в плоскость запечатления временной диахронии, как в обращенности к настоящему, так и в обращенности к прошлому, «включая в сдвигающийся вперед горизонт настоящего образы и истории иного времени и порождая тем самым надежду и память» [1:</w:t>
      </w:r>
      <w:r w:rsidR="00016B95">
        <w:rPr>
          <w:rFonts w:eastAsiaTheme="minorHAnsi"/>
          <w:sz w:val="28"/>
          <w:szCs w:val="28"/>
          <w:lang w:val="ru-RU"/>
        </w:rPr>
        <w:t> </w:t>
      </w:r>
      <w:r w:rsidRPr="0034766E">
        <w:rPr>
          <w:rFonts w:eastAsiaTheme="minorHAnsi"/>
          <w:sz w:val="28"/>
          <w:szCs w:val="28"/>
          <w:lang w:val="ru-RU"/>
        </w:rPr>
        <w:t xml:space="preserve">15]. </w:t>
      </w:r>
    </w:p>
    <w:p w14:paraId="4E64E724" w14:textId="77777777" w:rsidR="00016B95" w:rsidRDefault="0034766E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4766E">
        <w:rPr>
          <w:rFonts w:eastAsiaTheme="minorHAnsi"/>
          <w:sz w:val="28"/>
          <w:szCs w:val="28"/>
          <w:lang w:val="ru-RU"/>
        </w:rPr>
        <w:lastRenderedPageBreak/>
        <w:t xml:space="preserve">Журналистика – это не только способ передачи актуальной социальной информации, но и форма соединения настоящего с прошлым, возможность восстанавливать в социальной памяти опыт минувшего. Систему налаживания в средствах массовой информации своей «коннективной структуры» вокруг идеи единства с историей, памяти о минувшем можно рассматривать как важный социальный заказ журналистике, поскольку в обществе всегда есть потребность на реализацию темы исторической памяти. </w:t>
      </w:r>
    </w:p>
    <w:p w14:paraId="61DCE396" w14:textId="1E0F4767" w:rsidR="00016B95" w:rsidRDefault="0034766E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4766E">
        <w:rPr>
          <w:rFonts w:eastAsiaTheme="minorHAnsi"/>
          <w:sz w:val="28"/>
          <w:szCs w:val="28"/>
          <w:lang w:val="ru-RU"/>
        </w:rPr>
        <w:t xml:space="preserve">Категория памяти активно разрабатывается в современной гуманитарной мысли. Одной из причин такого пристального внимания является активизация социальной саморефлексии, желание найти объяснение кризисным ситуациям, ответы на проблемные вопросы в историческом опыте. По мнению И. Калинина, «память привлекает особое внимание тогда, когда возникает нарушение привычного хода ее работы или когда она сталкивается с чем-то, что забыть оказывается так же сложно, как и запомнить» [3]. Немецкий философ, культуролог Ян </w:t>
      </w:r>
      <w:r w:rsidRPr="002F399E">
        <w:rPr>
          <w:rFonts w:eastAsiaTheme="minorHAnsi"/>
          <w:sz w:val="28"/>
          <w:szCs w:val="28"/>
          <w:lang w:val="ru-RU"/>
        </w:rPr>
        <w:t>А</w:t>
      </w:r>
      <w:r w:rsidR="002F399E" w:rsidRPr="002F399E">
        <w:rPr>
          <w:rFonts w:eastAsiaTheme="minorHAnsi"/>
          <w:sz w:val="28"/>
          <w:szCs w:val="28"/>
          <w:lang w:val="ru-RU"/>
        </w:rPr>
        <w:t>с</w:t>
      </w:r>
      <w:r w:rsidRPr="0034766E">
        <w:rPr>
          <w:rFonts w:eastAsiaTheme="minorHAnsi"/>
          <w:sz w:val="28"/>
          <w:szCs w:val="28"/>
          <w:lang w:val="ru-RU"/>
        </w:rPr>
        <w:t>сман, выделяя историческую, коммуникативную, социальную память, особую роль отводил культурной памяти, представляя ее как «интенсифицированные, искусственные формы культурного воспоминания, культурную мнемотехнику, цель которой заключается в… поддержании несовременности» [1:</w:t>
      </w:r>
      <w:r w:rsidR="00016B95">
        <w:rPr>
          <w:rFonts w:eastAsiaTheme="minorHAnsi"/>
          <w:sz w:val="28"/>
          <w:szCs w:val="28"/>
          <w:lang w:val="ru-RU"/>
        </w:rPr>
        <w:t> </w:t>
      </w:r>
      <w:r w:rsidRPr="0034766E">
        <w:rPr>
          <w:rFonts w:eastAsiaTheme="minorHAnsi"/>
          <w:sz w:val="28"/>
          <w:szCs w:val="28"/>
          <w:lang w:val="ru-RU"/>
        </w:rPr>
        <w:t xml:space="preserve">23]. Культурная память, реализуемая посредством массовых информационных каналов, не столько поддерживает «несовременность», сколько репрезентирует связь между прошлым и современным, обеспечивает трансляцию культурного наследия, его интеграцию в современные социокультурные реалии, регулирование социокультурной практики. </w:t>
      </w:r>
    </w:p>
    <w:p w14:paraId="67300AAB" w14:textId="77777777" w:rsidR="00271AC9" w:rsidRDefault="0034766E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4766E">
        <w:rPr>
          <w:rFonts w:eastAsiaTheme="minorHAnsi"/>
          <w:sz w:val="28"/>
          <w:szCs w:val="28"/>
          <w:lang w:val="ru-RU"/>
        </w:rPr>
        <w:t xml:space="preserve">Функции такой репрезентации разнообразные – от информационно-событийной до аналитическо-исторической, от культурно-просветительской до идентификационно-интерпретационной, от нравственно-воспитательной до ценностно-аккумулятивной. Представление в отечественных средствах массовой информации исторических или современных событий, денотативной основой которых является обращение к истории, чаще всего осуществляется в </w:t>
      </w:r>
      <w:r w:rsidRPr="0034766E">
        <w:rPr>
          <w:rFonts w:eastAsiaTheme="minorHAnsi"/>
          <w:sz w:val="28"/>
          <w:szCs w:val="28"/>
          <w:lang w:val="ru-RU"/>
        </w:rPr>
        <w:lastRenderedPageBreak/>
        <w:t xml:space="preserve">контексте «холодной культуры». Это происходит либо по причине представления мифологизированной истории («Существуют общества… которые являются холодными в том смысле, что </w:t>
      </w:r>
      <w:r w:rsidR="00271AC9" w:rsidRPr="00271AC9">
        <w:rPr>
          <w:rFonts w:eastAsiaTheme="minorHAnsi"/>
          <w:sz w:val="28"/>
          <w:szCs w:val="28"/>
          <w:lang w:val="ru-RU"/>
        </w:rPr>
        <w:t>“</w:t>
      </w:r>
      <w:r w:rsidRPr="0034766E">
        <w:rPr>
          <w:rFonts w:eastAsiaTheme="minorHAnsi"/>
          <w:sz w:val="28"/>
          <w:szCs w:val="28"/>
          <w:lang w:val="ru-RU"/>
        </w:rPr>
        <w:t>отчаянно сопротивляются вторжению истории</w:t>
      </w:r>
      <w:r w:rsidR="00271AC9" w:rsidRPr="00271AC9">
        <w:rPr>
          <w:rFonts w:eastAsiaTheme="minorHAnsi"/>
          <w:sz w:val="28"/>
          <w:szCs w:val="28"/>
          <w:lang w:val="ru-RU"/>
        </w:rPr>
        <w:t>”</w:t>
      </w:r>
      <w:r w:rsidRPr="0034766E">
        <w:rPr>
          <w:rFonts w:eastAsiaTheme="minorHAnsi"/>
          <w:sz w:val="28"/>
          <w:szCs w:val="28"/>
          <w:lang w:val="ru-RU"/>
        </w:rPr>
        <w:t>» [1:</w:t>
      </w:r>
      <w:r w:rsidR="00016B95">
        <w:rPr>
          <w:rFonts w:eastAsiaTheme="minorHAnsi"/>
          <w:sz w:val="28"/>
          <w:szCs w:val="28"/>
          <w:lang w:val="ru-RU"/>
        </w:rPr>
        <w:t> </w:t>
      </w:r>
      <w:r w:rsidRPr="0034766E">
        <w:rPr>
          <w:rFonts w:eastAsiaTheme="minorHAnsi"/>
          <w:sz w:val="28"/>
          <w:szCs w:val="28"/>
          <w:lang w:val="ru-RU"/>
        </w:rPr>
        <w:t>73]), либо по причине отсутствия разнообразия фактов, к которым есть доступ («В действительности горячая культура должна располагать очень большим набором сведений о своей истории в разных смыслах» [2]</w:t>
      </w:r>
      <w:r w:rsidR="00271AC9">
        <w:rPr>
          <w:rFonts w:eastAsiaTheme="minorHAnsi"/>
          <w:sz w:val="28"/>
          <w:szCs w:val="28"/>
          <w:lang w:val="ru-RU"/>
        </w:rPr>
        <w:t>)</w:t>
      </w:r>
      <w:r w:rsidRPr="0034766E">
        <w:rPr>
          <w:rFonts w:eastAsiaTheme="minorHAnsi"/>
          <w:sz w:val="28"/>
          <w:szCs w:val="28"/>
          <w:lang w:val="ru-RU"/>
        </w:rPr>
        <w:t xml:space="preserve">, либо по причине реализации определенных редакционных стратегий. </w:t>
      </w:r>
    </w:p>
    <w:p w14:paraId="4175A62C" w14:textId="0AD9F8F2" w:rsidR="00E72B7B" w:rsidRDefault="0034766E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34766E">
        <w:rPr>
          <w:rFonts w:eastAsiaTheme="minorHAnsi"/>
          <w:sz w:val="28"/>
          <w:szCs w:val="28"/>
          <w:lang w:val="ru-RU"/>
        </w:rPr>
        <w:t>Наиболее частое отражение на страницах общественно-политических газет Беларуси находит тема Великой Отечественной войны, которая остается крупнейшим потрясением для национального самосознания. Однако не всегда эта тема раскрывается с позиций «горячей культуры», с желанием открыть новые смыслы или предложить новые формы в представлении этой темы. В репрезентации культурной памяти современные СМИ Беларуси отдают предпочтение и событиям локального масштаба</w:t>
      </w:r>
      <w:r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6CDA9E8D" w14:textId="77777777" w:rsidR="00016B95" w:rsidRDefault="00016B95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16B95">
        <w:rPr>
          <w:rFonts w:eastAsiaTheme="minorHAnsi"/>
          <w:sz w:val="28"/>
          <w:szCs w:val="28"/>
          <w:lang w:val="ru-RU"/>
        </w:rPr>
        <w:t>Ассман Я. Культурная память: Письмо, память о прошлом и политическая идентичность в высоких культурах древности. М., 2004.</w:t>
      </w:r>
    </w:p>
    <w:p w14:paraId="4ACA8FC0" w14:textId="65555CBB" w:rsidR="00016B95" w:rsidRDefault="00016B95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16B95">
        <w:rPr>
          <w:rFonts w:eastAsiaTheme="minorHAnsi"/>
          <w:sz w:val="28"/>
          <w:szCs w:val="28"/>
          <w:lang w:val="ru-RU"/>
        </w:rPr>
        <w:t>Иванов В. В. Антропологические теории «горячих» и «холодных» культур и история авангарда</w:t>
      </w:r>
      <w:r w:rsidR="00B60E49">
        <w:rPr>
          <w:rFonts w:eastAsiaTheme="minorHAnsi"/>
          <w:sz w:val="28"/>
          <w:szCs w:val="28"/>
          <w:lang w:val="ru-RU"/>
        </w:rPr>
        <w:t>.</w:t>
      </w:r>
      <w:r w:rsidRPr="00016B95">
        <w:rPr>
          <w:rFonts w:eastAsiaTheme="minorHAnsi"/>
          <w:sz w:val="28"/>
          <w:szCs w:val="28"/>
          <w:lang w:val="ru-RU"/>
        </w:rPr>
        <w:t xml:space="preserve"> URL: </w:t>
      </w:r>
      <w:r w:rsidRPr="00B60E49">
        <w:rPr>
          <w:rFonts w:eastAsiaTheme="minorHAnsi"/>
          <w:sz w:val="28"/>
          <w:szCs w:val="28"/>
          <w:u w:color="0563C1"/>
          <w:lang w:val="ru-RU"/>
        </w:rPr>
        <w:t>http://kolonn</w:t>
      </w:r>
      <w:r w:rsidRPr="00B60E49">
        <w:rPr>
          <w:rFonts w:eastAsiaTheme="minorHAnsi"/>
          <w:sz w:val="28"/>
          <w:szCs w:val="28"/>
          <w:u w:color="0563C1"/>
          <w:lang w:val="ru-RU"/>
        </w:rPr>
        <w:t>a</w:t>
      </w:r>
      <w:r w:rsidRPr="00B60E49">
        <w:rPr>
          <w:rFonts w:eastAsiaTheme="minorHAnsi"/>
          <w:sz w:val="28"/>
          <w:szCs w:val="28"/>
          <w:u w:color="0563C1"/>
          <w:lang w:val="ru-RU"/>
        </w:rPr>
        <w:t>.mitin.</w:t>
      </w:r>
      <w:r w:rsidRPr="00B60E49">
        <w:rPr>
          <w:rFonts w:eastAsiaTheme="minorHAnsi"/>
          <w:sz w:val="28"/>
          <w:szCs w:val="28"/>
          <w:u w:color="0563C1"/>
          <w:lang w:val="ru-RU"/>
        </w:rPr>
        <w:t>c</w:t>
      </w:r>
      <w:r w:rsidRPr="00B60E49">
        <w:rPr>
          <w:rFonts w:eastAsiaTheme="minorHAnsi"/>
          <w:sz w:val="28"/>
          <w:szCs w:val="28"/>
          <w:u w:color="0563C1"/>
          <w:lang w:val="ru-RU"/>
        </w:rPr>
        <w:t>om/archive/mj20/ivanov.shtm</w:t>
      </w:r>
      <w:r w:rsidR="00B60E49">
        <w:rPr>
          <w:lang w:val="ru-RU"/>
        </w:rPr>
        <w:t>.</w:t>
      </w:r>
    </w:p>
    <w:p w14:paraId="747109DF" w14:textId="309762F9" w:rsidR="00016B95" w:rsidRDefault="00016B95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16B95">
        <w:rPr>
          <w:rFonts w:eastAsiaTheme="minorHAnsi"/>
          <w:sz w:val="28"/>
          <w:szCs w:val="28"/>
          <w:lang w:val="ru-RU"/>
        </w:rPr>
        <w:t>Калинин И. Перестройка памяти // Неприкосновенный запас. 2009. №</w:t>
      </w:r>
      <w:r>
        <w:rPr>
          <w:rFonts w:eastAsiaTheme="minorHAnsi"/>
          <w:sz w:val="28"/>
          <w:szCs w:val="28"/>
          <w:lang w:val="ru-RU"/>
        </w:rPr>
        <w:t> </w:t>
      </w:r>
      <w:r w:rsidRPr="00016B95">
        <w:rPr>
          <w:rFonts w:eastAsiaTheme="minorHAnsi"/>
          <w:sz w:val="28"/>
          <w:szCs w:val="28"/>
          <w:lang w:val="ru-RU"/>
        </w:rPr>
        <w:t>2</w:t>
      </w:r>
      <w:r w:rsidR="00B60E49">
        <w:rPr>
          <w:rFonts w:eastAsiaTheme="minorHAnsi"/>
          <w:sz w:val="28"/>
          <w:szCs w:val="28"/>
          <w:lang w:val="ru-RU"/>
        </w:rPr>
        <w:t xml:space="preserve"> </w:t>
      </w:r>
      <w:r w:rsidRPr="00016B95">
        <w:rPr>
          <w:rFonts w:eastAsiaTheme="minorHAnsi"/>
          <w:sz w:val="28"/>
          <w:szCs w:val="28"/>
          <w:lang w:val="ru-RU"/>
        </w:rPr>
        <w:t>(64). URL: magazines.russ.ru/</w:t>
      </w:r>
      <w:proofErr w:type="spellStart"/>
      <w:r w:rsidRPr="00016B95">
        <w:rPr>
          <w:rFonts w:eastAsiaTheme="minorHAnsi"/>
          <w:sz w:val="28"/>
          <w:szCs w:val="28"/>
          <w:lang w:val="ru-RU"/>
        </w:rPr>
        <w:t>nz</w:t>
      </w:r>
      <w:proofErr w:type="spellEnd"/>
      <w:r w:rsidRPr="00016B95">
        <w:rPr>
          <w:rFonts w:eastAsiaTheme="minorHAnsi"/>
          <w:sz w:val="28"/>
          <w:szCs w:val="28"/>
          <w:lang w:val="ru-RU"/>
        </w:rPr>
        <w:t>/2009/2/ka17-pr.html</w:t>
      </w:r>
      <w:r w:rsidR="00B60E49">
        <w:rPr>
          <w:rFonts w:eastAsiaTheme="minorHAnsi"/>
          <w:sz w:val="28"/>
          <w:szCs w:val="28"/>
          <w:lang w:val="ru-RU"/>
        </w:rPr>
        <w:t>.</w:t>
      </w:r>
    </w:p>
    <w:p w14:paraId="6958A7A8" w14:textId="22D2C815" w:rsidR="00E72B7B" w:rsidRPr="0034766E" w:rsidRDefault="00016B95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016B95">
        <w:rPr>
          <w:rFonts w:eastAsiaTheme="minorHAnsi"/>
          <w:sz w:val="28"/>
          <w:szCs w:val="28"/>
          <w:lang w:val="ru-RU"/>
        </w:rPr>
        <w:t>Корконосенко С.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016B95">
        <w:rPr>
          <w:rFonts w:eastAsiaTheme="minorHAnsi"/>
          <w:sz w:val="28"/>
          <w:szCs w:val="28"/>
          <w:lang w:val="ru-RU"/>
        </w:rPr>
        <w:t>Г. Понятие социального заказа в теории и практике журналистики // Вопросы теории и практики журналистики. 2025. T. 14</w:t>
      </w:r>
      <w:r w:rsidR="00B60E49">
        <w:rPr>
          <w:rFonts w:eastAsiaTheme="minorHAnsi"/>
          <w:sz w:val="28"/>
          <w:szCs w:val="28"/>
          <w:lang w:val="ru-RU"/>
        </w:rPr>
        <w:t>,</w:t>
      </w:r>
      <w:r w:rsidRPr="00016B95">
        <w:rPr>
          <w:rFonts w:eastAsiaTheme="minorHAnsi"/>
          <w:sz w:val="28"/>
          <w:szCs w:val="28"/>
          <w:lang w:val="ru-RU"/>
        </w:rPr>
        <w:t xml:space="preserve"> № 1. С. 5</w:t>
      </w:r>
      <w:r w:rsidR="00B60E49" w:rsidRPr="00B60E49">
        <w:rPr>
          <w:rFonts w:eastAsiaTheme="minorHAnsi"/>
          <w:sz w:val="28"/>
          <w:szCs w:val="28"/>
          <w:lang w:val="ru-RU"/>
        </w:rPr>
        <w:t>–</w:t>
      </w:r>
      <w:r w:rsidRPr="00016B95">
        <w:rPr>
          <w:rFonts w:eastAsiaTheme="minorHAnsi"/>
          <w:sz w:val="28"/>
          <w:szCs w:val="28"/>
          <w:lang w:val="ru-RU"/>
        </w:rPr>
        <w:t>19.</w:t>
      </w:r>
    </w:p>
    <w:sectPr w:rsidR="00E72B7B" w:rsidRPr="0034766E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num w:numId="1" w16cid:durableId="206833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F2457"/>
    <w:rsid w:val="0017220E"/>
    <w:rsid w:val="00237581"/>
    <w:rsid w:val="00271AC9"/>
    <w:rsid w:val="002F399E"/>
    <w:rsid w:val="002F72F9"/>
    <w:rsid w:val="0034766E"/>
    <w:rsid w:val="004C323F"/>
    <w:rsid w:val="007254C4"/>
    <w:rsid w:val="008608EB"/>
    <w:rsid w:val="00A771B7"/>
    <w:rsid w:val="00AA2BBB"/>
    <w:rsid w:val="00AA4EBC"/>
    <w:rsid w:val="00B60E49"/>
    <w:rsid w:val="00BA5423"/>
    <w:rsid w:val="00CA673C"/>
    <w:rsid w:val="00D50B60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71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2025-11-03T08:13:00Z</dcterms:created>
  <dcterms:modified xsi:type="dcterms:W3CDTF">2025-11-03T15:18:00Z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