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DEAEF" w14:textId="526B616D" w:rsidR="001D1DF2" w:rsidRDefault="001574B1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Чжан Жуй</w:t>
      </w:r>
    </w:p>
    <w:p w14:paraId="329C9174" w14:textId="5D49E2D3" w:rsidR="00E72B7B" w:rsidRPr="00AA4EBC" w:rsidRDefault="003D6E66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3D6E66">
        <w:rPr>
          <w:rFonts w:eastAsiaTheme="minorHAnsi"/>
          <w:i/>
          <w:iCs/>
          <w:sz w:val="28"/>
          <w:szCs w:val="28"/>
          <w:lang w:val="ru-RU"/>
        </w:rPr>
        <w:t>С</w:t>
      </w:r>
      <w:r w:rsidR="002A578F">
        <w:rPr>
          <w:rFonts w:eastAsiaTheme="minorHAnsi"/>
          <w:i/>
          <w:iCs/>
          <w:sz w:val="28"/>
          <w:szCs w:val="28"/>
          <w:lang w:val="ru-RU"/>
        </w:rPr>
        <w:t>анкт-Петербургский</w:t>
      </w:r>
      <w:r w:rsidRPr="003D6E66">
        <w:rPr>
          <w:rFonts w:eastAsiaTheme="minorHAnsi"/>
          <w:i/>
          <w:iCs/>
          <w:sz w:val="28"/>
          <w:szCs w:val="28"/>
          <w:lang w:val="ru-RU"/>
        </w:rPr>
        <w:t xml:space="preserve"> 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>государственный университет</w:t>
      </w:r>
    </w:p>
    <w:p w14:paraId="2CFACA07" w14:textId="49FD21CA" w:rsidR="001D1DF2" w:rsidRDefault="001574B1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st065864@student.spbu.ru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66FE5A05" w14:textId="1026521D" w:rsidR="00E72B7B" w:rsidRDefault="001574B1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1574B1">
        <w:rPr>
          <w:rFonts w:eastAsiaTheme="minorHAnsi"/>
          <w:b/>
          <w:bCs/>
          <w:sz w:val="28"/>
          <w:szCs w:val="28"/>
          <w:lang w:val="ru-RU"/>
        </w:rPr>
        <w:t>Распространение патриотизма в официальном медиадискурсе КНР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183E40A3" w:rsidR="00E72B7B" w:rsidRDefault="001574B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В статье анализируется концепт патриотизма как элемент идеологического дискурса в КНР. Объектом исследования выступают 144 публикации в «Жэньминь жибао» (2013</w:t>
      </w:r>
      <w:r w:rsidR="00E062B9">
        <w:rPr>
          <w:rFonts w:eastAsiaTheme="minorHAnsi"/>
          <w:sz w:val="28"/>
          <w:szCs w:val="28"/>
          <w:lang w:val="ru-RU"/>
        </w:rPr>
        <w:t>-</w:t>
      </w:r>
      <w:r w:rsidRPr="001574B1">
        <w:rPr>
          <w:rFonts w:eastAsiaTheme="minorHAnsi"/>
          <w:sz w:val="28"/>
          <w:szCs w:val="28"/>
          <w:lang w:val="ru-RU"/>
        </w:rPr>
        <w:t>2025), отражающие трансформации патриотической риторики в контексте государственной коммуникационной политики</w:t>
      </w:r>
      <w:r w:rsidR="003D6E66" w:rsidRPr="003D6E66">
        <w:rPr>
          <w:rFonts w:eastAsiaTheme="minorHAnsi"/>
          <w:sz w:val="28"/>
          <w:szCs w:val="28"/>
          <w:lang w:val="ru-RU"/>
        </w:rPr>
        <w:t>.</w:t>
      </w:r>
    </w:p>
    <w:p w14:paraId="2211EA08" w14:textId="4A723A4A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1574B1" w:rsidRPr="001574B1">
        <w:rPr>
          <w:rFonts w:eastAsiaTheme="minorHAnsi"/>
          <w:sz w:val="28"/>
          <w:szCs w:val="28"/>
          <w:lang w:val="ru-RU"/>
        </w:rPr>
        <w:t>китайские медиа, патриотизм, «Жэньминь жибао», идеология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546B52D4" w14:textId="77777777" w:rsidR="00E062B9" w:rsidRDefault="001574B1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В современном обществе существует множество интерпретаций понятия «патриотизм». С одной стороны, многие исследователи рассматривают патриотизм как важный инструмент формирования государственной идеологии и объект изучения социальных наук, выражающийся в идентичности с государством, нацией и культурным сообществом. С другой стороны, существует точка зрения, согласно которой патриотизм является естественным проявлением духовного наследия, укоренённого в глубокой привязанности человека к родной земле и культуре [1: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 xml:space="preserve">4]. </w:t>
      </w:r>
    </w:p>
    <w:p w14:paraId="586BB4D3" w14:textId="34556615" w:rsidR="00E062B9" w:rsidRDefault="001574B1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В китайском контексте формирование концепции патриотизма тесно связано с распространением марксизма. С тех пор как В. И. Ленин дал классическое определение патриотизма как «глубочайшего чувства к родине, сложившегося на протяжении веков» [2: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 xml:space="preserve">28], этот тезис широко используется в политико-теоретической системе КНР и постепенно стал основой для патриотического воспитания в новую эпоху. С момента своего основания Коммунистическая партия Китая связывает патриотизм с национальным освобождением и государственным строительством, постоянно расширяя его </w:t>
      </w:r>
      <w:r w:rsidRPr="001574B1">
        <w:rPr>
          <w:rFonts w:eastAsiaTheme="minorHAnsi"/>
          <w:sz w:val="28"/>
          <w:szCs w:val="28"/>
          <w:lang w:val="ru-RU"/>
        </w:rPr>
        <w:lastRenderedPageBreak/>
        <w:t>содержание как важн</w:t>
      </w:r>
      <w:r w:rsidR="00E062B9">
        <w:rPr>
          <w:rFonts w:eastAsiaTheme="minorHAnsi"/>
          <w:sz w:val="28"/>
          <w:szCs w:val="28"/>
          <w:lang w:val="ru-RU"/>
        </w:rPr>
        <w:t>ого</w:t>
      </w:r>
      <w:r w:rsidRPr="001574B1">
        <w:rPr>
          <w:rFonts w:eastAsiaTheme="minorHAnsi"/>
          <w:sz w:val="28"/>
          <w:szCs w:val="28"/>
          <w:lang w:val="ru-RU"/>
        </w:rPr>
        <w:t xml:space="preserve"> ресурс</w:t>
      </w:r>
      <w:r w:rsidR="00E062B9">
        <w:rPr>
          <w:rFonts w:eastAsiaTheme="minorHAnsi"/>
          <w:sz w:val="28"/>
          <w:szCs w:val="28"/>
          <w:lang w:val="ru-RU"/>
        </w:rPr>
        <w:t>а</w:t>
      </w:r>
      <w:r w:rsidRPr="001574B1">
        <w:rPr>
          <w:rFonts w:eastAsiaTheme="minorHAnsi"/>
          <w:sz w:val="28"/>
          <w:szCs w:val="28"/>
          <w:lang w:val="ru-RU"/>
        </w:rPr>
        <w:t xml:space="preserve"> общественной консолидации. В новой эпохе генеральный секретарь Си Цзиньпин вновь подчеркнул, что «суть патриотизма заключается в поддержании глубокого единства любви к стране, партии и социализму» [3: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 xml:space="preserve">244]. Это политическое утверждение проясняет современное положение патриотизма в новой эпохе: он представляет собой не просто эмоциональную привязанность к географии и культуре нации, но и утверждение </w:t>
      </w:r>
      <w:r w:rsidR="00E062B9">
        <w:rPr>
          <w:rFonts w:eastAsiaTheme="minorHAnsi"/>
          <w:sz w:val="28"/>
          <w:szCs w:val="28"/>
          <w:lang w:val="ru-RU"/>
        </w:rPr>
        <w:t xml:space="preserve">значимости </w:t>
      </w:r>
      <w:r w:rsidRPr="001574B1">
        <w:rPr>
          <w:rFonts w:eastAsiaTheme="minorHAnsi"/>
          <w:sz w:val="28"/>
          <w:szCs w:val="28"/>
          <w:lang w:val="ru-RU"/>
        </w:rPr>
        <w:t xml:space="preserve">государственных институтов и лидерства правящей партии. Он является важным проявлением единства в системе ценностей нации. </w:t>
      </w:r>
    </w:p>
    <w:p w14:paraId="06BA86FD" w14:textId="77777777" w:rsidR="00E062B9" w:rsidRDefault="001574B1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Как важнейшее официальное издание страны, газета «Жэньминь жибао» традиционно выполняет функцию основного канала распространения государственной идеологии. Для изучения практики медийного транслирования патриотизма данное исследование охватывает период с 17 марта 2013 г</w:t>
      </w:r>
      <w:r w:rsidR="00E062B9">
        <w:rPr>
          <w:rFonts w:eastAsiaTheme="minorHAnsi"/>
          <w:sz w:val="28"/>
          <w:szCs w:val="28"/>
          <w:lang w:val="ru-RU"/>
        </w:rPr>
        <w:t>.</w:t>
      </w:r>
      <w:r w:rsidRPr="001574B1">
        <w:rPr>
          <w:rFonts w:eastAsiaTheme="minorHAnsi"/>
          <w:sz w:val="28"/>
          <w:szCs w:val="28"/>
          <w:lang w:val="ru-RU"/>
        </w:rPr>
        <w:t xml:space="preserve"> (когда Си Цзиньпин на сессии Всекитайского собрания народных представителей впервые выдвинул призыв к возрождению патриотического духа</w:t>
      </w:r>
      <w:r w:rsidR="00E062B9">
        <w:rPr>
          <w:rFonts w:eastAsiaTheme="minorHAnsi"/>
          <w:sz w:val="28"/>
          <w:szCs w:val="28"/>
          <w:lang w:val="ru-RU"/>
        </w:rPr>
        <w:t>)</w:t>
      </w:r>
      <w:r w:rsidRPr="001574B1">
        <w:rPr>
          <w:rFonts w:eastAsiaTheme="minorHAnsi"/>
          <w:sz w:val="28"/>
          <w:szCs w:val="28"/>
          <w:lang w:val="ru-RU"/>
        </w:rPr>
        <w:t xml:space="preserve"> по 23 октября 2025 г</w:t>
      </w:r>
      <w:r w:rsidR="00E062B9">
        <w:rPr>
          <w:rFonts w:eastAsiaTheme="minorHAnsi"/>
          <w:sz w:val="28"/>
          <w:szCs w:val="28"/>
          <w:lang w:val="ru-RU"/>
        </w:rPr>
        <w:t>.</w:t>
      </w:r>
      <w:r w:rsidRPr="001574B1">
        <w:rPr>
          <w:rFonts w:eastAsiaTheme="minorHAnsi"/>
          <w:sz w:val="28"/>
          <w:szCs w:val="28"/>
          <w:lang w:val="ru-RU"/>
        </w:rPr>
        <w:t xml:space="preserve"> (дату проведения IV Пленума XX созыва ЦК КПК). По результатам системного анализа базы данных «Жэньминь жибао» было выявлено 144 публикации, напрямую посвящённые теме патриотизма. Анализ показывает, что частота публикаций возрастала в периоды ключевых политических событий и памятных дат </w:t>
      </w:r>
      <w:r w:rsidR="00E062B9" w:rsidRPr="00E062B9">
        <w:rPr>
          <w:rFonts w:eastAsiaTheme="minorHAnsi"/>
          <w:sz w:val="28"/>
          <w:szCs w:val="28"/>
          <w:lang w:val="ru-RU"/>
        </w:rPr>
        <w:t>–</w:t>
      </w:r>
      <w:r w:rsidRPr="001574B1">
        <w:rPr>
          <w:rFonts w:eastAsiaTheme="minorHAnsi"/>
          <w:sz w:val="28"/>
          <w:szCs w:val="28"/>
          <w:lang w:val="ru-RU"/>
        </w:rPr>
        <w:t xml:space="preserve"> таких как сессии ВСНП, съезды партии, годовщины основания КПК, День памяти мучеников. Эти публикации отражают способность газеты синхронизироваться с государственным политическим календарём и подчёркивают её роль в укреплении идеологического господства в публичном дискурсе. </w:t>
      </w:r>
    </w:p>
    <w:p w14:paraId="0E8D8070" w14:textId="77777777" w:rsidR="00E062B9" w:rsidRDefault="001574B1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 xml:space="preserve">Структура большинства статей включает </w:t>
      </w:r>
      <w:r w:rsidR="00E062B9">
        <w:rPr>
          <w:rFonts w:eastAsiaTheme="minorHAnsi"/>
          <w:sz w:val="28"/>
          <w:szCs w:val="28"/>
          <w:lang w:val="ru-RU"/>
        </w:rPr>
        <w:t xml:space="preserve">в себя </w:t>
      </w:r>
      <w:r w:rsidRPr="001574B1">
        <w:rPr>
          <w:rFonts w:eastAsiaTheme="minorHAnsi"/>
          <w:sz w:val="28"/>
          <w:szCs w:val="28"/>
          <w:lang w:val="ru-RU"/>
        </w:rPr>
        <w:t xml:space="preserve">цитаты </w:t>
      </w:r>
      <w:r w:rsidR="00E062B9">
        <w:rPr>
          <w:rFonts w:eastAsiaTheme="minorHAnsi"/>
          <w:sz w:val="28"/>
          <w:szCs w:val="28"/>
          <w:lang w:val="ru-RU"/>
        </w:rPr>
        <w:t xml:space="preserve">из </w:t>
      </w:r>
      <w:r w:rsidRPr="001574B1">
        <w:rPr>
          <w:rFonts w:eastAsiaTheme="minorHAnsi"/>
          <w:sz w:val="28"/>
          <w:szCs w:val="28"/>
          <w:lang w:val="ru-RU"/>
        </w:rPr>
        <w:t xml:space="preserve">выступлений лидеров, ретроспективу исторического опыта и </w:t>
      </w:r>
      <w:r w:rsidR="00E062B9">
        <w:rPr>
          <w:rFonts w:eastAsiaTheme="minorHAnsi"/>
          <w:sz w:val="28"/>
          <w:szCs w:val="28"/>
          <w:lang w:val="ru-RU"/>
        </w:rPr>
        <w:t>портрет</w:t>
      </w:r>
      <w:r w:rsidRPr="001574B1">
        <w:rPr>
          <w:rFonts w:eastAsiaTheme="minorHAnsi"/>
          <w:sz w:val="28"/>
          <w:szCs w:val="28"/>
          <w:lang w:val="ru-RU"/>
        </w:rPr>
        <w:t xml:space="preserve">ы образцовых граждан, что способствует интеграции патриотизма в широкую нарративную рамку национального развития и индивидуальной судьбы. С точки зрения стиля, статьи отличаются официальной, утвердительной тональностью, акцентирующей коллективную память, историческую преемственность и </w:t>
      </w:r>
      <w:r w:rsidRPr="001574B1">
        <w:rPr>
          <w:rFonts w:eastAsiaTheme="minorHAnsi"/>
          <w:sz w:val="28"/>
          <w:szCs w:val="28"/>
          <w:lang w:val="ru-RU"/>
        </w:rPr>
        <w:lastRenderedPageBreak/>
        <w:t xml:space="preserve">политическую ответственность. Часто употребляются ключевые выражения, такие как «национальный дух», «преимущество системы», «семейно-государственные чувства», что формирует устойчивую идеологическую рамку. При этом часть публикаций стремится повысить коммуникативную доступность через описание реальных случаев, личные истории и реконструкцию ситуаций, что способствует расширению охвата аудитории. </w:t>
      </w:r>
    </w:p>
    <w:p w14:paraId="4175A62C" w14:textId="52DD4ADA" w:rsidR="00E72B7B" w:rsidRDefault="001574B1" w:rsidP="00120BB3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Таким образом, «Жэньминь жибао» демонстрирует структурированную и целенаправленную стратегию политической трансляции патриотизма, органично интегрируя его в основное идеологическое повествование современного Китая и усиливая массовую приверженность государственным ценностям</w:t>
      </w:r>
      <w:r w:rsidR="00F95C7B" w:rsidRPr="00F95C7B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0688E5EB" w14:textId="5A7D7FA6" w:rsidR="001574B1" w:rsidRDefault="001574B1" w:rsidP="001574B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1.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Демин И. В., Долгина Е. С. Патриотизм: понятие и виды // Вестник магистратуры. 2015. №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11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(50). Т.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 xml:space="preserve">2. С. 4–5. </w:t>
      </w:r>
    </w:p>
    <w:p w14:paraId="7DE15553" w14:textId="2D669867" w:rsidR="001574B1" w:rsidRDefault="001574B1" w:rsidP="001574B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1574B1">
        <w:rPr>
          <w:rFonts w:eastAsiaTheme="minorHAnsi"/>
          <w:sz w:val="28"/>
          <w:szCs w:val="28"/>
          <w:lang w:val="ru-RU"/>
        </w:rPr>
        <w:t>2.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Ли Лин, Сюй Цзин, Цао Яньсян. Исследование определения патриотизма // Вестник профессионального колледжа экономики провинции Ляонин. 2012. №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1. С.</w:t>
      </w:r>
      <w:r w:rsidR="00E062B9"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28</w:t>
      </w:r>
      <w:r w:rsidR="00E062B9" w:rsidRPr="00E062B9">
        <w:rPr>
          <w:rFonts w:eastAsiaTheme="minorHAnsi"/>
          <w:sz w:val="28"/>
          <w:szCs w:val="28"/>
          <w:lang w:val="ru-RU"/>
        </w:rPr>
        <w:t>–</w:t>
      </w:r>
      <w:r w:rsidRPr="001574B1">
        <w:rPr>
          <w:rFonts w:eastAsiaTheme="minorHAnsi"/>
          <w:sz w:val="28"/>
          <w:szCs w:val="28"/>
          <w:lang w:val="ru-RU"/>
        </w:rPr>
        <w:t xml:space="preserve">29. </w:t>
      </w:r>
    </w:p>
    <w:p w14:paraId="6958A7A8" w14:textId="77A39AFB" w:rsidR="00E72B7B" w:rsidRPr="00E2012B" w:rsidRDefault="001574B1" w:rsidP="001574B1">
      <w:pPr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1574B1">
        <w:rPr>
          <w:rFonts w:eastAsiaTheme="minorHAnsi"/>
          <w:sz w:val="28"/>
          <w:szCs w:val="28"/>
          <w:lang w:val="ru-RU"/>
        </w:rPr>
        <w:t>3.</w:t>
      </w:r>
      <w:r>
        <w:rPr>
          <w:rFonts w:eastAsiaTheme="minorHAnsi"/>
          <w:sz w:val="28"/>
          <w:szCs w:val="28"/>
          <w:lang w:val="ru-RU"/>
        </w:rPr>
        <w:t xml:space="preserve"> </w:t>
      </w:r>
      <w:r w:rsidRPr="001574B1">
        <w:rPr>
          <w:rFonts w:eastAsiaTheme="minorHAnsi"/>
          <w:sz w:val="28"/>
          <w:szCs w:val="28"/>
          <w:lang w:val="ru-RU"/>
        </w:rPr>
        <w:t>Си Цзиньпин. Об истории Коммунистической партии Китая. Пекин: Центральное литературное издательство</w:t>
      </w:r>
      <w:r w:rsidR="00E062B9">
        <w:rPr>
          <w:rFonts w:eastAsiaTheme="minorHAnsi"/>
          <w:sz w:val="28"/>
          <w:szCs w:val="28"/>
          <w:lang w:val="ru-RU"/>
        </w:rPr>
        <w:t xml:space="preserve">, </w:t>
      </w:r>
      <w:r w:rsidRPr="001574B1">
        <w:rPr>
          <w:rFonts w:eastAsiaTheme="minorHAnsi"/>
          <w:sz w:val="28"/>
          <w:szCs w:val="28"/>
          <w:lang w:val="ru-RU"/>
        </w:rPr>
        <w:t>2021</w:t>
      </w:r>
      <w:r>
        <w:rPr>
          <w:rFonts w:eastAsiaTheme="minorHAnsi"/>
          <w:sz w:val="28"/>
          <w:szCs w:val="28"/>
          <w:lang w:val="ru-RU"/>
        </w:rPr>
        <w:t>.</w:t>
      </w:r>
    </w:p>
    <w:sectPr w:rsidR="00E72B7B" w:rsidRPr="00E2012B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72B84F7A"/>
    <w:multiLevelType w:val="hybridMultilevel"/>
    <w:tmpl w:val="A2342AE8"/>
    <w:lvl w:ilvl="0" w:tplc="6BB434C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8338567">
    <w:abstractNumId w:val="0"/>
  </w:num>
  <w:num w:numId="2" w16cid:durableId="261109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120BB3"/>
    <w:rsid w:val="001574B1"/>
    <w:rsid w:val="0017220E"/>
    <w:rsid w:val="001D1DF2"/>
    <w:rsid w:val="001F2DB6"/>
    <w:rsid w:val="002A578F"/>
    <w:rsid w:val="002F72F9"/>
    <w:rsid w:val="0034766E"/>
    <w:rsid w:val="00393B9E"/>
    <w:rsid w:val="003D6E66"/>
    <w:rsid w:val="00421929"/>
    <w:rsid w:val="00427697"/>
    <w:rsid w:val="004C323F"/>
    <w:rsid w:val="007254C4"/>
    <w:rsid w:val="007D569D"/>
    <w:rsid w:val="008863D2"/>
    <w:rsid w:val="008C7A68"/>
    <w:rsid w:val="00A771B7"/>
    <w:rsid w:val="00AA2BBB"/>
    <w:rsid w:val="00AA4EBC"/>
    <w:rsid w:val="00BA5423"/>
    <w:rsid w:val="00D50B60"/>
    <w:rsid w:val="00E062B9"/>
    <w:rsid w:val="00E2012B"/>
    <w:rsid w:val="00E2746E"/>
    <w:rsid w:val="00E72B7B"/>
    <w:rsid w:val="00F95C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  <w:style w:type="character" w:styleId="aa">
    <w:name w:val="FollowedHyperlink"/>
    <w:basedOn w:val="a0"/>
    <w:rsid w:val="002A57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2025-11-13T12:00:00Z</dcterms:created>
  <dcterms:modified xsi:type="dcterms:W3CDTF">2025-11-13T12:11:00Z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