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51ijcqmacc" w:id="0"/>
      <w:bookmarkEnd w:id="0"/>
      <w:r w:rsidDel="00000000" w:rsidR="00000000" w:rsidRPr="00000000">
        <w:rPr>
          <w:rtl w:val="0"/>
        </w:rPr>
        <w:t xml:space="preserve">Оферта об услугах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дата оферты]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город, в котором живёт Исполнитель]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 Оферта адресована клиентам — юридическим и физическим лицам.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Договор считается заключённым на неопределённый срок с момента акцепта оферты: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оплаты оказанных услуг или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получения уведомления об акцепте по электронной почте или на сайте.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 Условия оказания услуг клиенты согласовывают с исполнителем: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по электронной почте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адрес электронной почты]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  <w:t xml:space="preserve">на сайте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 адрес сайта]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4. Исполнитель не платит НДС, так как применяет упрощённую систему налогообложения.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 Клиенты оплачивают услуги по безналичному расчёту.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 Исполнитель и клиенты не подписывают акты. Оплата подтверждает качество услуг.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 Клиенты самостоятельно оформляют и передают исполнителю все необходимые документы. 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Если клиенты не передали запрошенные документы, договор приостанавливает действие.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Переписка по электронной почте: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конфиденциальна;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/>
      </w:pPr>
      <w:r w:rsidDel="00000000" w:rsidR="00000000" w:rsidRPr="00000000">
        <w:rPr>
          <w:rtl w:val="0"/>
        </w:rPr>
        <w:t xml:space="preserve">имеет силу простой электронной подписи.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Исполнитель вправе рекламировать себя, рассказав об услугах на своём сайте.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11. Права требования уступке не подлежат.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12. Досудебный порядок урегулирования споров в течение 30 дней обязателен.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13. Подсудность неурегулированных споров — суд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регион исполнителя]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kwegqaqfeg2" w:id="1"/>
      <w:bookmarkEnd w:id="1"/>
      <w:r w:rsidDel="00000000" w:rsidR="00000000" w:rsidRPr="00000000">
        <w:rPr>
          <w:rtl w:val="0"/>
        </w:rPr>
        <w:t xml:space="preserve">Исполнитель: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наименование компании или ФИО индивидуального предпринимателя]</w:t>
        <w:br w:type="textWrapping"/>
        <w:t xml:space="preserve">[… → адрес местонахождения]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  <w:t xml:space="preserve">ОГРН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основной государственный регистрационный номер],</w:t>
      </w:r>
      <w:r w:rsidDel="00000000" w:rsidR="00000000" w:rsidRPr="00000000">
        <w:rPr>
          <w:rtl w:val="0"/>
        </w:rPr>
        <w:t xml:space="preserve"> ИНН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идентификационный номер налогоплательщика]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tl w:val="0"/>
        </w:rPr>
        <w:t xml:space="preserve">Расчётный счёт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номер расчётного счёта]</w:t>
      </w:r>
      <w:r w:rsidDel="00000000" w:rsidR="00000000" w:rsidRPr="00000000">
        <w:rPr>
          <w:rtl w:val="0"/>
        </w:rPr>
        <w:t xml:space="preserve"> в 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наименование банка],</w:t>
      </w:r>
      <w:r w:rsidDel="00000000" w:rsidR="00000000" w:rsidRPr="00000000">
        <w:rPr>
          <w:rtl w:val="0"/>
        </w:rPr>
        <w:t xml:space="preserve"> БИК </w:t>
      </w: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 → банковский идентификационный код]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highlight w:val="yellow"/>
        </w:rPr>
      </w:pPr>
      <w:r w:rsidDel="00000000" w:rsidR="00000000" w:rsidRPr="00000000">
        <w:rPr>
          <w:rFonts w:ascii="Arial Unicode MS" w:cs="Arial Unicode MS" w:eastAsia="Arial Unicode MS" w:hAnsi="Arial Unicode MS"/>
          <w:highlight w:val="yellow"/>
          <w:rtl w:val="0"/>
        </w:rPr>
        <w:t xml:space="preserve">[… → адрес электронной почты], [… → номер телефона]</w:t>
      </w:r>
    </w:p>
    <w:sectPr>
      <w:pgSz w:h="16838" w:w="11906" w:orient="portrait"/>
      <w:pgMar w:bottom="1133.8582677165355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after="80" w:before="280" w:line="24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