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35" w:rsidRPr="00481735" w:rsidRDefault="00CF5F93" w:rsidP="00481735">
      <w:pPr>
        <w:spacing w:after="0" w:line="600" w:lineRule="atLeast"/>
        <w:outlineLvl w:val="3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</w:t>
      </w:r>
      <w:r w:rsidR="00481735" w:rsidRPr="00481735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Распродажа оборудования в связи с закрытием предприятия.</w:t>
      </w:r>
    </w:p>
    <w:p w:rsidR="00481735" w:rsidRDefault="00481735" w:rsidP="00481735">
      <w:pPr>
        <w:spacing w:line="600" w:lineRule="atLeast"/>
        <w:outlineLvl w:val="3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Цены ориентировочные. Все обсуждается. </w:t>
      </w:r>
    </w:p>
    <w:p w:rsidR="00086387" w:rsidRDefault="00086387" w:rsidP="00481735">
      <w:pPr>
        <w:spacing w:line="600" w:lineRule="atLeast"/>
        <w:outlineLvl w:val="3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На сайте </w:t>
      </w:r>
      <w:r w:rsidR="00CF5F93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http</w:t>
      </w:r>
      <w:r w:rsidR="00CF5F93" w:rsidRPr="00CF5F93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://</w:t>
      </w:r>
      <w:proofErr w:type="spellStart"/>
      <w:r>
        <w:rPr>
          <w:rFonts w:ascii="Arial" w:eastAsia="Times New Roman" w:hAnsi="Arial" w:cs="Arial"/>
          <w:color w:val="111111"/>
          <w:sz w:val="36"/>
          <w:szCs w:val="36"/>
          <w:lang w:val="en-US" w:eastAsia="ru-RU"/>
        </w:rPr>
        <w:t>dtvc</w:t>
      </w:r>
      <w:proofErr w:type="spellEnd"/>
      <w:r w:rsidRPr="00086387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111111"/>
          <w:sz w:val="36"/>
          <w:szCs w:val="36"/>
          <w:lang w:val="en-US" w:eastAsia="ru-RU"/>
        </w:rPr>
        <w:t>ru</w:t>
      </w:r>
      <w:proofErr w:type="spellEnd"/>
      <w:r w:rsidRPr="00086387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актуальный список.</w:t>
      </w:r>
    </w:p>
    <w:p w:rsidR="0000182B" w:rsidRPr="0000182B" w:rsidRDefault="0000182B" w:rsidP="0000182B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00182B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Ресивер PBI-3100S2</w:t>
      </w:r>
    </w:p>
    <w:p w:rsidR="0000182B" w:rsidRPr="002875A7" w:rsidRDefault="0000182B" w:rsidP="0000182B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00182B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Спутниковый приемник в стойку. 2 CI слота, декодер</w:t>
      </w:r>
      <w:r w:rsidR="00D05A1F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.</w:t>
      </w:r>
      <w:r w:rsidRPr="0000182B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 w:rsidR="00D05A1F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В</w:t>
      </w:r>
      <w:r w:rsidRPr="0000182B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ыход</w:t>
      </w:r>
      <w:r w:rsidR="00D05A1F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:</w:t>
      </w:r>
      <w:r w:rsidRPr="0000182B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AV, ASI</w:t>
      </w:r>
      <w:r w:rsidRPr="002875A7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>.</w:t>
      </w:r>
      <w:r w:rsidR="002875A7" w:rsidRPr="006039C5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 xml:space="preserve"> 3 штуки</w:t>
      </w:r>
      <w:r w:rsidR="002875A7" w:rsidRPr="006039C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</w:p>
    <w:p w:rsidR="0000182B" w:rsidRPr="0000182B" w:rsidRDefault="0000182B" w:rsidP="0000182B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00182B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15 000 р. 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Шасси DMM-1000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Шасси головной станции DMM-1000. 8 мест под модули, два блока питания. </w:t>
      </w:r>
      <w:r w:rsid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4</w:t>
      </w:r>
      <w:r w:rsidRPr="00481735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 xml:space="preserve"> штук</w:t>
      </w:r>
      <w:r w:rsidR="002875A7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>и</w:t>
      </w:r>
      <w:r w:rsidRPr="00481735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>.</w:t>
      </w:r>
    </w:p>
    <w:p w:rsidR="00481735" w:rsidRPr="00481735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20 000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DMM-1200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Модуль профессионального IRD приемника PBI DMM-1200P-S2 для цифровой ГС PBI DMM-1000. DVB-S IRD, вход QPSK, 8PSK и ASI, поддержка </w:t>
      </w:r>
      <w:proofErr w:type="spell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Common</w:t>
      </w:r>
      <w:proofErr w:type="spell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proofErr w:type="spell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Interface</w:t>
      </w:r>
      <w:proofErr w:type="spell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х 2, ASI выход, аналоговый видео (</w:t>
      </w:r>
      <w:proofErr w:type="gram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PAL,NTSC</w:t>
      </w:r>
      <w:proofErr w:type="gram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и SECAM) и аудио выходы.</w:t>
      </w: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 w:rsidR="002875A7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>3</w:t>
      </w:r>
      <w:r w:rsidRPr="00481735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>0 штук</w:t>
      </w:r>
    </w:p>
    <w:p w:rsidR="00481735" w:rsidRPr="00481735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4 000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2875A7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</w:pPr>
      <w:r w:rsidRPr="002875A7"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  <w:t>Сумматор 1701-CA</w:t>
      </w:r>
    </w:p>
    <w:p w:rsidR="00481735" w:rsidRPr="002875A7" w:rsidRDefault="00481735" w:rsidP="00481735">
      <w:pPr>
        <w:spacing w:after="0" w:line="420" w:lineRule="atLeast"/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</w:pPr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 xml:space="preserve">Модуль сумматора и усилителя DMM-1701CA PBI по 7 RF входам, выходной усилитель в полосе 48-860МГц. Ручная регулировка выходного уровня мощности. </w:t>
      </w:r>
      <w:r w:rsidRPr="002875A7">
        <w:rPr>
          <w:rFonts w:ascii="Arial" w:eastAsia="Times New Roman" w:hAnsi="Arial" w:cs="Arial"/>
          <w:b/>
          <w:strike/>
          <w:color w:val="111111"/>
          <w:sz w:val="30"/>
          <w:szCs w:val="30"/>
          <w:u w:val="single"/>
          <w:lang w:eastAsia="ru-RU"/>
        </w:rPr>
        <w:t>2 штуки.</w:t>
      </w:r>
    </w:p>
    <w:p w:rsidR="00481735" w:rsidRPr="00481735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2875A7"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  <w:t>8</w:t>
      </w: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WELLAV DMP900 Профессиональная мультимедийная платформа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DMP900 - платформа для ГС. Централизованная обработка (мультиплексирование), пропускная способность 6 Гб данных. В комплекте DMP900 резервный источник питания с функцией автоматического резервирования. Каждая платформа DMP900 может разместить шесть модулей. </w:t>
      </w:r>
    </w:p>
    <w:p w:rsidR="00481735" w:rsidRPr="00481735" w:rsidRDefault="0000182B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11111"/>
          <w:sz w:val="48"/>
          <w:szCs w:val="48"/>
          <w:lang w:eastAsia="ru-RU"/>
        </w:rPr>
        <w:t>9</w:t>
      </w:r>
      <w:r w:rsid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5</w:t>
      </w:r>
      <w:r w:rsidR="00481735"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2875A7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proofErr w:type="spellStart"/>
      <w:r w:rsidRPr="00481735"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Wellav</w:t>
      </w:r>
      <w:proofErr w:type="spellEnd"/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</w:t>
      </w: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Карт</w:t>
      </w:r>
      <w:r w:rsidRPr="00481735"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a</w:t>
      </w:r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4 </w:t>
      </w:r>
      <w:r w:rsidRPr="00481735"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ASI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481735">
        <w:rPr>
          <w:rFonts w:ascii="Arial" w:eastAsia="Times New Roman" w:hAnsi="Arial" w:cs="Arial"/>
          <w:color w:val="111111"/>
          <w:sz w:val="30"/>
          <w:szCs w:val="30"/>
          <w:lang w:val="en-US" w:eastAsia="ru-RU"/>
        </w:rPr>
        <w:t>Wellav</w:t>
      </w:r>
      <w:proofErr w:type="spellEnd"/>
      <w:r w:rsidRPr="0008638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Карта</w:t>
      </w:r>
      <w:r w:rsidRPr="0008638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4 </w:t>
      </w:r>
      <w:r w:rsidRPr="00481735">
        <w:rPr>
          <w:rFonts w:ascii="Arial" w:eastAsia="Times New Roman" w:hAnsi="Arial" w:cs="Arial"/>
          <w:color w:val="111111"/>
          <w:sz w:val="30"/>
          <w:szCs w:val="30"/>
          <w:lang w:val="en-US" w:eastAsia="ru-RU"/>
        </w:rPr>
        <w:t>ASI</w:t>
      </w:r>
      <w:r w:rsidRPr="0008638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</w:t>
      </w: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Каждый из 4-х интерфейсов </w:t>
      </w:r>
      <w:proofErr w:type="gram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может быть</w:t>
      </w:r>
      <w:proofErr w:type="gram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как входом так и выходом. Работает в шасси SMP100 и DMP900. </w:t>
      </w:r>
    </w:p>
    <w:p w:rsidR="00481735" w:rsidRPr="00481735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45 000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proofErr w:type="spellStart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Wellav</w:t>
      </w:r>
      <w:proofErr w:type="spellEnd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Карта модулятора IQAM 8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Wellav</w:t>
      </w:r>
      <w:proofErr w:type="spell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Карта модулятора 8 QAM. Позволяет сформировать сигнал DVB-C на 8 независимых частотах. Работает в шасси SMP100 и DMP900. </w:t>
      </w:r>
      <w:r w:rsidRPr="00481735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>2 штуки</w:t>
      </w:r>
    </w:p>
    <w:p w:rsidR="00481735" w:rsidRPr="00481735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100 000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proofErr w:type="spellStart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Wellav</w:t>
      </w:r>
      <w:proofErr w:type="spellEnd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Карта приемника 4 DVB-S/S2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Wellav</w:t>
      </w:r>
      <w:proofErr w:type="spell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Карта приемника 4 DVB-S/S2. Работает в шасси SMP100 и DMP900. На карте 4 тюнера DVB-S2 тюнера.</w:t>
      </w:r>
      <w:r w:rsidR="0060199A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 w:rsidR="002875A7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>1 штука</w:t>
      </w:r>
      <w:r w:rsidR="0060199A" w:rsidRPr="0060199A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>.</w:t>
      </w:r>
    </w:p>
    <w:p w:rsidR="00481735" w:rsidRPr="00481735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50 000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D05A1F" w:rsidRDefault="00D05A1F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lastRenderedPageBreak/>
        <w:t>DMM-2410D-T2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Профессиональные IRD модули DMM-2410D предназначены для преобразования модулированных цифровых транспортных потоков (TS) формата DVB-C/T/T2 и TS-</w:t>
      </w:r>
      <w:proofErr w:type="spell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over</w:t>
      </w:r>
      <w:proofErr w:type="spell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-IP. Принятый TS поток подается на ASI выход, мультиплексор или IP выход. </w:t>
      </w:r>
    </w:p>
    <w:p w:rsidR="00481735" w:rsidRPr="00481735" w:rsidRDefault="0060199A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11111"/>
          <w:sz w:val="48"/>
          <w:szCs w:val="48"/>
          <w:lang w:eastAsia="ru-RU"/>
        </w:rPr>
        <w:t>5</w:t>
      </w:r>
      <w:r w:rsidR="00481735"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0 000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2875A7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</w:pPr>
      <w:proofErr w:type="spellStart"/>
      <w:r w:rsidRPr="002875A7"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  <w:t>Teleview</w:t>
      </w:r>
      <w:proofErr w:type="spellEnd"/>
      <w:r w:rsidRPr="002875A7"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  <w:t xml:space="preserve"> </w:t>
      </w:r>
      <w:proofErr w:type="spellStart"/>
      <w:r w:rsidRPr="002875A7"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  <w:t>Remux</w:t>
      </w:r>
      <w:proofErr w:type="spellEnd"/>
      <w:r w:rsidRPr="002875A7"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  <w:t xml:space="preserve"> 4ASI-1ASI/1IP</w:t>
      </w:r>
    </w:p>
    <w:p w:rsidR="00481735" w:rsidRPr="002875A7" w:rsidRDefault="00481735" w:rsidP="00481735">
      <w:pPr>
        <w:spacing w:after="0" w:line="420" w:lineRule="atLeast"/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</w:pPr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 xml:space="preserve">Мультиплексор 4ASI входа - 1 выход ASI и IP. Скорость выходного потока до 100 </w:t>
      </w:r>
      <w:proofErr w:type="spellStart"/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>мб</w:t>
      </w:r>
      <w:proofErr w:type="spellEnd"/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 xml:space="preserve">/с. Очень недорогое решение ASI </w:t>
      </w:r>
      <w:proofErr w:type="spellStart"/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>to</w:t>
      </w:r>
      <w:proofErr w:type="spellEnd"/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 xml:space="preserve"> IP! Кроме того, при наличии соответствующих опций может работать как скремблер DV-</w:t>
      </w:r>
      <w:proofErr w:type="spellStart"/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>Crypt</w:t>
      </w:r>
      <w:proofErr w:type="spellEnd"/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 xml:space="preserve">, </w:t>
      </w:r>
      <w:proofErr w:type="spellStart"/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>инсертер</w:t>
      </w:r>
      <w:proofErr w:type="spellEnd"/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 xml:space="preserve"> EPG. </w:t>
      </w:r>
      <w:r w:rsidRPr="002875A7">
        <w:rPr>
          <w:rFonts w:ascii="Arial" w:eastAsia="Times New Roman" w:hAnsi="Arial" w:cs="Arial"/>
          <w:b/>
          <w:strike/>
          <w:color w:val="111111"/>
          <w:sz w:val="30"/>
          <w:szCs w:val="30"/>
          <w:u w:val="single"/>
          <w:lang w:eastAsia="ru-RU"/>
        </w:rPr>
        <w:t>5 штук.</w:t>
      </w:r>
    </w:p>
    <w:p w:rsidR="00481735" w:rsidRPr="002875A7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</w:pPr>
      <w:r w:rsidRPr="002875A7"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  <w:t>10 000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proofErr w:type="spellStart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Terra</w:t>
      </w:r>
      <w:proofErr w:type="spellEnd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STA410C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ПРИЕМНИК DVB-C, выход IP </w:t>
      </w:r>
      <w:proofErr w:type="gram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</w:t>
      </w:r>
      <w:proofErr w:type="gram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ASI. В паре с tdq420С m.1 получится </w:t>
      </w:r>
      <w:proofErr w:type="spell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деинкапсулятор</w:t>
      </w:r>
      <w:proofErr w:type="spell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T2MI со спутника в IP и ASI.</w:t>
      </w:r>
    </w:p>
    <w:p w:rsidR="00481735" w:rsidRPr="00481735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40 000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2875A7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proofErr w:type="spellStart"/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Terra</w:t>
      </w:r>
      <w:proofErr w:type="spellEnd"/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TDQ420C. m1</w:t>
      </w:r>
      <w:r w:rsidR="0000182B"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</w:t>
      </w:r>
    </w:p>
    <w:p w:rsidR="00481735" w:rsidRPr="002875A7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proofErr w:type="spellStart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Трансмодулятор</w:t>
      </w:r>
      <w:proofErr w:type="spellEnd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tdq420С m.1 T2-MI. Двухканальный </w:t>
      </w:r>
      <w:proofErr w:type="spellStart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трансмодулятор</w:t>
      </w:r>
      <w:proofErr w:type="spellEnd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Принимает два транспондера DVB-S2 (внимание!!! с одного диапазона/поляризации) и формирует 2 смежных канала QAM(DVB-C) формата. Есть возможность </w:t>
      </w:r>
      <w:proofErr w:type="spellStart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ремультиплексирования</w:t>
      </w:r>
      <w:proofErr w:type="spellEnd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На сегодняшний день один из дешевых способов принять потоки T2MI со спутника. В паре с STA410 получится </w:t>
      </w:r>
      <w:proofErr w:type="spellStart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деинкапсулятор</w:t>
      </w:r>
      <w:proofErr w:type="spellEnd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T2MI со спутника в IP и ASI.</w:t>
      </w:r>
    </w:p>
    <w:p w:rsidR="00481735" w:rsidRPr="0000182B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</w:pPr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40 000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2875A7" w:rsidRPr="002875A7" w:rsidRDefault="002875A7" w:rsidP="002875A7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proofErr w:type="spellStart"/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lastRenderedPageBreak/>
        <w:t>Terra</w:t>
      </w:r>
      <w:proofErr w:type="spellEnd"/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STI440C</w:t>
      </w:r>
    </w:p>
    <w:p w:rsidR="002875A7" w:rsidRPr="002875A7" w:rsidRDefault="002875A7" w:rsidP="002875A7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ПРИЕМНИК DVB-C/T/T2 четыре транспондера, поток с USB </w:t>
      </w:r>
      <w:proofErr w:type="spellStart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флешки</w:t>
      </w:r>
      <w:proofErr w:type="spellEnd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, выход IP.</w:t>
      </w:r>
    </w:p>
    <w:p w:rsidR="002875A7" w:rsidRPr="002875A7" w:rsidRDefault="002875A7" w:rsidP="002875A7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40 000 </w:t>
      </w:r>
    </w:p>
    <w:p w:rsidR="002875A7" w:rsidRPr="002875A7" w:rsidRDefault="002875A7" w:rsidP="002875A7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proofErr w:type="spellStart"/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Terra</w:t>
      </w:r>
      <w:proofErr w:type="spellEnd"/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UP41</w:t>
      </w:r>
      <w:r w:rsidR="006039C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0</w:t>
      </w:r>
      <w:r w:rsidR="006039C5"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S</w:t>
      </w:r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Блок питания на DIN рейку</w:t>
      </w:r>
    </w:p>
    <w:p w:rsidR="002875A7" w:rsidRPr="002875A7" w:rsidRDefault="002875A7" w:rsidP="002875A7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Импульсный источник питания</w:t>
      </w:r>
      <w:r w:rsidR="006039C5" w:rsidRPr="006039C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 w:rsidR="006039C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с сумматором РЧ</w:t>
      </w:r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для модулей головной станции </w:t>
      </w:r>
      <w:proofErr w:type="spellStart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Terra</w:t>
      </w:r>
      <w:proofErr w:type="spellEnd"/>
      <w:r w:rsidRPr="002875A7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серии MMH. Выход 12В, 4.5А. </w:t>
      </w:r>
    </w:p>
    <w:p w:rsidR="002875A7" w:rsidRPr="002875A7" w:rsidRDefault="002875A7" w:rsidP="002875A7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7 000 ₽</w:t>
      </w: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proofErr w:type="spellStart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Планар</w:t>
      </w:r>
      <w:proofErr w:type="spellEnd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BTA-10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Продается в комплекте: Шасси, Модуль приемника DVB-T2 и 10 модулей -</w:t>
      </w: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модуляторов. BTA10 позволяет организовать прием сигналов цифрового телевидения разных стандартов, преобразовать их в аналоговый формат и выдать в виде радиочастотного ТВ-сигнала. Модуляторы с однополосной модуляцией, это позволяет размещать каналы на смежных частотах. </w:t>
      </w:r>
    </w:p>
    <w:p w:rsidR="00481735" w:rsidRPr="00481735" w:rsidRDefault="002875A7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11111"/>
          <w:sz w:val="48"/>
          <w:szCs w:val="48"/>
          <w:lang w:eastAsia="ru-RU"/>
        </w:rPr>
        <w:t>135</w:t>
      </w:r>
      <w:r w:rsidR="00481735"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proofErr w:type="spellStart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Планар</w:t>
      </w:r>
      <w:proofErr w:type="spellEnd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MT-500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Модулятор телевизионный многоканальный МТ500. </w:t>
      </w:r>
      <w:r w:rsidRPr="00481735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 xml:space="preserve">Продается 2 </w:t>
      </w:r>
      <w:proofErr w:type="gramStart"/>
      <w:r w:rsidRPr="00481735">
        <w:rPr>
          <w:rFonts w:ascii="Arial" w:eastAsia="Times New Roman" w:hAnsi="Arial" w:cs="Arial"/>
          <w:b/>
          <w:color w:val="111111"/>
          <w:sz w:val="30"/>
          <w:szCs w:val="30"/>
          <w:u w:val="single"/>
          <w:lang w:eastAsia="ru-RU"/>
        </w:rPr>
        <w:t>шасси</w:t>
      </w:r>
      <w:proofErr w:type="gram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укомплектованн</w:t>
      </w: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>ы</w:t>
      </w: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е модуляторами М01 - 16 штук. М02 - 16 штук. Полный комплект: 1 шасси + 16 модуляторов - </w:t>
      </w: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65000 р</w:t>
      </w: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. 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Приёмник </w:t>
      </w:r>
      <w:proofErr w:type="spellStart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Fantom</w:t>
      </w:r>
      <w:proofErr w:type="spellEnd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4xDVB-T2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Бюджетный счетверённый приёмник DVB-T2. Имеет четыре композитных выхода AV и четыре HDMI. Предназначен для работы в составе аналоговых станций </w:t>
      </w:r>
    </w:p>
    <w:p w:rsidR="00481735" w:rsidRPr="00481735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lastRenderedPageBreak/>
        <w:t>5 000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2875A7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</w:pPr>
      <w:r w:rsidRPr="002875A7"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  <w:t>CAM модуль DRE PRO MULTI</w:t>
      </w:r>
    </w:p>
    <w:p w:rsidR="00481735" w:rsidRPr="002875A7" w:rsidRDefault="00481735" w:rsidP="00481735">
      <w:pPr>
        <w:spacing w:after="0" w:line="420" w:lineRule="atLeast"/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</w:pPr>
      <w:r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 xml:space="preserve">Многопрограммный CAM модуль DRE </w:t>
      </w:r>
      <w:r w:rsidR="002875A7" w:rsidRPr="002875A7">
        <w:rPr>
          <w:rFonts w:ascii="Arial" w:eastAsia="Times New Roman" w:hAnsi="Arial" w:cs="Arial"/>
          <w:strike/>
          <w:color w:val="111111"/>
          <w:sz w:val="30"/>
          <w:szCs w:val="30"/>
          <w:lang w:eastAsia="ru-RU"/>
        </w:rPr>
        <w:t xml:space="preserve"> </w:t>
      </w:r>
      <w:r w:rsidR="002875A7" w:rsidRPr="002875A7">
        <w:rPr>
          <w:rFonts w:ascii="Arial" w:eastAsia="Times New Roman" w:hAnsi="Arial" w:cs="Arial"/>
          <w:b/>
          <w:strike/>
          <w:color w:val="111111"/>
          <w:sz w:val="30"/>
          <w:szCs w:val="30"/>
          <w:u w:val="single"/>
          <w:lang w:eastAsia="ru-RU"/>
        </w:rPr>
        <w:t>5 штук</w:t>
      </w:r>
    </w:p>
    <w:p w:rsidR="00481735" w:rsidRPr="002875A7" w:rsidRDefault="0000182B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</w:pPr>
      <w:r w:rsidRPr="002875A7"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  <w:t>5</w:t>
      </w:r>
      <w:r w:rsidR="00481735" w:rsidRPr="002875A7">
        <w:rPr>
          <w:rFonts w:ascii="Arial" w:eastAsia="Times New Roman" w:hAnsi="Arial" w:cs="Arial"/>
          <w:strike/>
          <w:color w:val="111111"/>
          <w:sz w:val="48"/>
          <w:szCs w:val="48"/>
          <w:lang w:eastAsia="ru-RU"/>
        </w:rPr>
        <w:t>0 000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CAM модуль </w:t>
      </w:r>
      <w:proofErr w:type="spellStart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Neotion</w:t>
      </w:r>
      <w:proofErr w:type="spellEnd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PRO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Многопрограммный CAM модуль </w:t>
      </w:r>
      <w:proofErr w:type="spell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Conax</w:t>
      </w:r>
      <w:proofErr w:type="spell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 w:rsidR="006039C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8 каналов</w:t>
      </w:r>
      <w:bookmarkStart w:id="0" w:name="_GoBack"/>
      <w:bookmarkEnd w:id="0"/>
    </w:p>
    <w:p w:rsidR="00481735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10 000 ₽</w:t>
      </w:r>
    </w:p>
    <w:p w:rsidR="00D16DAB" w:rsidRPr="00481735" w:rsidRDefault="00D16DAB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D16DAB" w:rsidRPr="002875A7" w:rsidRDefault="00D16DAB" w:rsidP="00D16DAB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11111"/>
          <w:sz w:val="48"/>
          <w:szCs w:val="48"/>
          <w:lang w:eastAsia="ru-RU"/>
        </w:rPr>
        <w:t>CAM модули</w:t>
      </w: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абонентские </w:t>
      </w:r>
      <w:proofErr w:type="spellStart"/>
      <w:r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Conax</w:t>
      </w:r>
      <w:proofErr w:type="spellEnd"/>
      <w:r w:rsidRPr="00D16DAB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Irdeto</w:t>
      </w:r>
      <w:proofErr w:type="spellEnd"/>
      <w:r w:rsidRPr="00D16DAB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Biss</w:t>
      </w:r>
      <w:proofErr w:type="spellEnd"/>
      <w:r w:rsidR="002875A7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, </w:t>
      </w:r>
      <w:r w:rsidR="002875A7"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DRE</w:t>
      </w:r>
    </w:p>
    <w:p w:rsidR="00D16DAB" w:rsidRDefault="00D16DAB" w:rsidP="00D16DAB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D16DAB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20</w:t>
      </w: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00 ₽</w:t>
      </w:r>
    </w:p>
    <w:p w:rsidR="00481735" w:rsidRPr="00481735" w:rsidRDefault="00481735" w:rsidP="00481735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D16DAB" w:rsidRPr="00D16DAB" w:rsidRDefault="00D16DAB" w:rsidP="00D16DAB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CAM модуль </w:t>
      </w:r>
      <w:proofErr w:type="spellStart"/>
      <w:r>
        <w:rPr>
          <w:rFonts w:ascii="Arial" w:eastAsia="Times New Roman" w:hAnsi="Arial" w:cs="Arial"/>
          <w:color w:val="111111"/>
          <w:sz w:val="48"/>
          <w:szCs w:val="48"/>
          <w:lang w:val="en-US" w:eastAsia="ru-RU"/>
        </w:rPr>
        <w:t>PowerCam</w:t>
      </w:r>
      <w:proofErr w:type="spellEnd"/>
    </w:p>
    <w:p w:rsidR="00D16DAB" w:rsidRPr="00D16DAB" w:rsidRDefault="00D16DAB" w:rsidP="00D16DAB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Многопрограммный CAM модуль</w:t>
      </w:r>
      <w:r w:rsidRPr="00D16DAB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до 16 каналов</w:t>
      </w: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поддерживает </w:t>
      </w:r>
      <w:proofErr w:type="spell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Conax</w:t>
      </w:r>
      <w:proofErr w:type="spell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и </w:t>
      </w:r>
      <w:proofErr w:type="spellStart"/>
      <w:r>
        <w:rPr>
          <w:rFonts w:ascii="Arial" w:eastAsia="Times New Roman" w:hAnsi="Arial" w:cs="Arial"/>
          <w:color w:val="111111"/>
          <w:sz w:val="30"/>
          <w:szCs w:val="30"/>
          <w:lang w:val="en-US" w:eastAsia="ru-RU"/>
        </w:rPr>
        <w:t>Irdeto</w:t>
      </w:r>
      <w:proofErr w:type="spellEnd"/>
    </w:p>
    <w:p w:rsidR="00D16DAB" w:rsidRPr="00481735" w:rsidRDefault="002875A7" w:rsidP="00D16DAB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11111"/>
          <w:sz w:val="48"/>
          <w:szCs w:val="48"/>
          <w:lang w:eastAsia="ru-RU"/>
        </w:rPr>
        <w:t>15</w:t>
      </w:r>
      <w:r w:rsidR="00D16DAB"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000 ₽</w:t>
      </w:r>
    </w:p>
    <w:p w:rsidR="00D16DAB" w:rsidRDefault="00D16DAB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</w:p>
    <w:p w:rsidR="00481735" w:rsidRPr="00481735" w:rsidRDefault="00481735" w:rsidP="00481735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Делители, </w:t>
      </w:r>
      <w:proofErr w:type="spellStart"/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ответвители</w:t>
      </w:r>
      <w:proofErr w:type="spellEnd"/>
      <w:r w:rsidR="00D05A1F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абонентские</w:t>
      </w: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 новые в упаковке</w:t>
      </w:r>
    </w:p>
    <w:p w:rsidR="00481735" w:rsidRPr="00481735" w:rsidRDefault="00481735" w:rsidP="00481735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Делители на 2-8 выходов, </w:t>
      </w:r>
      <w:proofErr w:type="spellStart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ответвители</w:t>
      </w:r>
      <w:proofErr w:type="spellEnd"/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на 2-8 отводов и затухание от 10 до 16 на отвод. Количество большое. На фотке </w:t>
      </w:r>
      <w:r w:rsidRPr="00481735">
        <w:rPr>
          <w:rFonts w:ascii="Arial" w:eastAsia="Times New Roman" w:hAnsi="Arial" w:cs="Arial"/>
          <w:color w:val="111111"/>
          <w:sz w:val="30"/>
          <w:szCs w:val="30"/>
          <w:lang w:eastAsia="ru-RU"/>
        </w:rPr>
        <w:lastRenderedPageBreak/>
        <w:t xml:space="preserve">реальная коробка с этим добром. Цена 50 - 200 рублей зависит от кол-ва отводов. </w:t>
      </w:r>
    </w:p>
    <w:p w:rsidR="00481735" w:rsidRDefault="00481735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481735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50 ₽</w:t>
      </w:r>
    </w:p>
    <w:p w:rsidR="00147F26" w:rsidRPr="00147F26" w:rsidRDefault="00147F26" w:rsidP="00147F26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Приемник оптический FORO 102P </w:t>
      </w:r>
      <w:proofErr w:type="spellStart"/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FOROtel</w:t>
      </w:r>
      <w:proofErr w:type="spellEnd"/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, 106 </w:t>
      </w:r>
      <w:proofErr w:type="spellStart"/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дБмкВ</w:t>
      </w:r>
      <w:proofErr w:type="spellEnd"/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, АРУ, 12В</w:t>
      </w:r>
    </w:p>
    <w:p w:rsidR="00147F26" w:rsidRPr="00147F26" w:rsidRDefault="00147F26" w:rsidP="00147F26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47F2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Компактный алюминиевый корпус Система АРУ по входному оптическому уровню Рабочий выходной уровень, не менее 106 </w:t>
      </w:r>
      <w:proofErr w:type="spellStart"/>
      <w:r w:rsidRPr="00147F2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дБмкВ</w:t>
      </w:r>
      <w:proofErr w:type="spellEnd"/>
      <w:r w:rsidRPr="00147F2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Малошумящий, высокочувствительный приёмный каскад Плавная регулировка усиления, индикация входной оптической мощности Питание от адаптера 10 ... 12В Питание от адаптера 12 В (0.5 А)</w:t>
      </w:r>
    </w:p>
    <w:p w:rsidR="00147F26" w:rsidRPr="00147F26" w:rsidRDefault="00147F26" w:rsidP="00147F26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2 000 ₽</w:t>
      </w:r>
    </w:p>
    <w:p w:rsidR="00147F26" w:rsidRPr="00147F26" w:rsidRDefault="00147F26" w:rsidP="00147F26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147F26" w:rsidRPr="00147F26" w:rsidRDefault="00147F26" w:rsidP="00147F26">
      <w:pPr>
        <w:spacing w:after="300" w:line="600" w:lineRule="atLeas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Приемник оптический FORO 208A </w:t>
      </w:r>
      <w:proofErr w:type="spellStart"/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FOROtel</w:t>
      </w:r>
      <w:proofErr w:type="spellEnd"/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 xml:space="preserve">, 110 </w:t>
      </w:r>
      <w:proofErr w:type="spellStart"/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дБмкВ</w:t>
      </w:r>
      <w:proofErr w:type="spellEnd"/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, АРУ, 12В</w:t>
      </w:r>
    </w:p>
    <w:p w:rsidR="00147F26" w:rsidRPr="00147F26" w:rsidRDefault="00147F26" w:rsidP="00147F26">
      <w:pPr>
        <w:spacing w:after="0" w:line="420" w:lineRule="atLeast"/>
        <w:rPr>
          <w:rFonts w:ascii="Arial" w:eastAsia="Times New Roman" w:hAnsi="Arial" w:cs="Arial"/>
          <w:color w:val="111111"/>
          <w:sz w:val="30"/>
          <w:szCs w:val="30"/>
          <w:lang w:eastAsia="ru-RU"/>
        </w:rPr>
      </w:pPr>
      <w:r w:rsidRPr="00147F2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Компактный алюминиевый корпус Максимальный выходной уровень 112 </w:t>
      </w:r>
      <w:proofErr w:type="spellStart"/>
      <w:r w:rsidRPr="00147F2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>дБмкВ</w:t>
      </w:r>
      <w:proofErr w:type="spellEnd"/>
      <w:r w:rsidRPr="00147F26">
        <w:rPr>
          <w:rFonts w:ascii="Arial" w:eastAsia="Times New Roman" w:hAnsi="Arial" w:cs="Arial"/>
          <w:color w:val="111111"/>
          <w:sz w:val="30"/>
          <w:szCs w:val="30"/>
          <w:lang w:eastAsia="ru-RU"/>
        </w:rPr>
        <w:t xml:space="preserve"> Система стабилизации уровня выходного РЧ сигнала (АРУ) по оптической мощности с микропроцессорным управлением Высокий уровень выходного сигнала, при низких уровнях входной оптической мощности Малошумящий высокочувствительный приёмный каскад Питание от адаптера 12 В (0.5 А)</w:t>
      </w:r>
    </w:p>
    <w:p w:rsidR="00147F26" w:rsidRPr="00147F26" w:rsidRDefault="00147F26" w:rsidP="00147F26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 w:rsidRPr="00147F26">
        <w:rPr>
          <w:rFonts w:ascii="Arial" w:eastAsia="Times New Roman" w:hAnsi="Arial" w:cs="Arial"/>
          <w:color w:val="111111"/>
          <w:sz w:val="48"/>
          <w:szCs w:val="48"/>
          <w:lang w:eastAsia="ru-RU"/>
        </w:rPr>
        <w:t>2 500 ₽</w:t>
      </w:r>
    </w:p>
    <w:p w:rsidR="00147F26" w:rsidRDefault="00147F26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</w:p>
    <w:p w:rsidR="0000182B" w:rsidRDefault="0000182B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</w:p>
    <w:p w:rsidR="0000182B" w:rsidRPr="00481735" w:rsidRDefault="0000182B" w:rsidP="00481735">
      <w:pPr>
        <w:spacing w:after="0" w:line="600" w:lineRule="atLeast"/>
        <w:ind w:left="795"/>
        <w:jc w:val="right"/>
        <w:outlineLvl w:val="3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</w:p>
    <w:p w:rsidR="009965CD" w:rsidRPr="00481735" w:rsidRDefault="009965CD" w:rsidP="00481735"/>
    <w:sectPr w:rsidR="009965CD" w:rsidRPr="00481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35"/>
    <w:rsid w:val="0000182B"/>
    <w:rsid w:val="00086387"/>
    <w:rsid w:val="00147F26"/>
    <w:rsid w:val="002875A7"/>
    <w:rsid w:val="00481735"/>
    <w:rsid w:val="0060199A"/>
    <w:rsid w:val="006039C5"/>
    <w:rsid w:val="009965CD"/>
    <w:rsid w:val="00C35C7B"/>
    <w:rsid w:val="00CF5F93"/>
    <w:rsid w:val="00D05A1F"/>
    <w:rsid w:val="00D1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C4788-BF88-4C0C-8FC4-89762C6D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875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75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879">
          <w:marLeft w:val="-360"/>
          <w:marRight w:val="-36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1374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0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9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2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476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3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898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6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44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5385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6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8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80659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3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5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82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6871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3149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4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13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6222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6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9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4740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7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3847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5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7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5525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65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28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4355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3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5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7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5582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1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7789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0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1017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8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0239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3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5943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1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75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0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0826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7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7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4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8106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3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8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2824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2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0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13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9206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9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9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1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1616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2023-04-01T15:22:00Z</dcterms:created>
  <dcterms:modified xsi:type="dcterms:W3CDTF">2023-05-23T04:43:00Z</dcterms:modified>
</cp:coreProperties>
</file>